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E4" w:rsidRPr="0046210B" w:rsidRDefault="00DD4EE4" w:rsidP="00DD4EE4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UDC</w:t>
      </w:r>
      <w:r w:rsidRPr="0046210B">
        <w:rPr>
          <w:rFonts w:ascii="Times New Roman" w:hAnsi="Times New Roman" w:cs="Times New Roman"/>
          <w:sz w:val="28"/>
          <w:szCs w:val="28"/>
          <w:lang w:val="en-US"/>
        </w:rPr>
        <w:t xml:space="preserve"> 616.126.42-089.5</w:t>
      </w:r>
    </w:p>
    <w:p w:rsidR="00DD4EE4" w:rsidRPr="0046210B" w:rsidRDefault="00DD4EE4" w:rsidP="00DD4EE4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  <w:r w:rsidRPr="00930B87">
        <w:rPr>
          <w:color w:val="000000"/>
          <w:sz w:val="28"/>
          <w:szCs w:val="28"/>
          <w:lang w:val="en-US"/>
        </w:rPr>
        <w:t xml:space="preserve">BLOOD-RESERVING TECHNOLOGY IN SURGICAL </w:t>
      </w:r>
      <w:r>
        <w:rPr>
          <w:color w:val="000000"/>
          <w:sz w:val="28"/>
          <w:szCs w:val="28"/>
          <w:lang w:val="en-US"/>
        </w:rPr>
        <w:t>CORRECTION</w:t>
      </w:r>
      <w:r w:rsidRPr="00930B87">
        <w:rPr>
          <w:color w:val="000000"/>
          <w:sz w:val="28"/>
          <w:szCs w:val="28"/>
          <w:lang w:val="en-US"/>
        </w:rPr>
        <w:t xml:space="preserve"> </w:t>
      </w:r>
    </w:p>
    <w:p w:rsidR="00DD4EE4" w:rsidRPr="0046210B" w:rsidRDefault="00DD4EE4" w:rsidP="00DD4EE4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  <w:proofErr w:type="gramStart"/>
      <w:r w:rsidRPr="00930B87">
        <w:rPr>
          <w:color w:val="000000"/>
          <w:sz w:val="28"/>
          <w:szCs w:val="28"/>
          <w:lang w:val="en-US"/>
        </w:rPr>
        <w:t>OF  MITRAL</w:t>
      </w:r>
      <w:proofErr w:type="gramEnd"/>
      <w:r w:rsidRPr="00930B87">
        <w:rPr>
          <w:color w:val="000000"/>
          <w:sz w:val="28"/>
          <w:szCs w:val="28"/>
          <w:lang w:val="uk-UA"/>
        </w:rPr>
        <w:t xml:space="preserve"> </w:t>
      </w:r>
      <w:r w:rsidRPr="00930B87">
        <w:rPr>
          <w:color w:val="000000"/>
          <w:sz w:val="28"/>
          <w:szCs w:val="28"/>
          <w:lang w:val="en-US"/>
        </w:rPr>
        <w:t>VALVE DISEASES</w:t>
      </w:r>
      <w:r>
        <w:rPr>
          <w:rStyle w:val="af2"/>
          <w:color w:val="000000"/>
          <w:sz w:val="28"/>
          <w:szCs w:val="28"/>
          <w:lang w:val="en-US"/>
        </w:rPr>
        <w:footnoteReference w:id="1"/>
      </w:r>
      <w:r w:rsidRPr="0046210B">
        <w:rPr>
          <w:color w:val="000000"/>
          <w:sz w:val="28"/>
          <w:szCs w:val="28"/>
          <w:lang w:val="en-US"/>
        </w:rPr>
        <w:t xml:space="preserve"> </w:t>
      </w:r>
    </w:p>
    <w:p w:rsidR="00DD4EE4" w:rsidRPr="00930B87" w:rsidRDefault="00DD4EE4" w:rsidP="00DD4EE4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USING THE CARDIOPULMONARY BYPASS</w:t>
      </w:r>
    </w:p>
    <w:p w:rsidR="00DD4EE4" w:rsidRPr="00FE665D" w:rsidRDefault="00DD4EE4" w:rsidP="00DD4EE4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iCs/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en-US"/>
        </w:rPr>
        <w:t>Lazorishinetz</w:t>
      </w:r>
      <w:proofErr w:type="spellEnd"/>
      <w:r w:rsidRPr="00906F9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V</w:t>
      </w:r>
      <w:r w:rsidRPr="00906F9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en-US"/>
        </w:rPr>
        <w:t>V</w:t>
      </w:r>
      <w:r w:rsidRPr="00906F9D">
        <w:rPr>
          <w:color w:val="000000"/>
          <w:sz w:val="28"/>
          <w:szCs w:val="28"/>
          <w:lang w:val="uk-UA"/>
        </w:rPr>
        <w:t xml:space="preserve">., </w:t>
      </w:r>
      <w:r w:rsidRPr="00926009">
        <w:rPr>
          <w:color w:val="000000"/>
          <w:sz w:val="28"/>
          <w:szCs w:val="28"/>
          <w:lang w:val="en-US"/>
        </w:rPr>
        <w:t>Popov</w:t>
      </w:r>
      <w:r w:rsidRPr="00926009">
        <w:rPr>
          <w:color w:val="000000"/>
          <w:sz w:val="28"/>
          <w:szCs w:val="28"/>
          <w:lang w:val="uk-UA"/>
        </w:rPr>
        <w:t xml:space="preserve"> </w:t>
      </w:r>
      <w:r w:rsidRPr="00926009">
        <w:rPr>
          <w:color w:val="000000"/>
          <w:sz w:val="28"/>
          <w:szCs w:val="28"/>
          <w:lang w:val="en-US"/>
        </w:rPr>
        <w:t>V</w:t>
      </w:r>
      <w:r w:rsidRPr="00926009">
        <w:rPr>
          <w:color w:val="000000"/>
          <w:sz w:val="28"/>
          <w:szCs w:val="28"/>
          <w:lang w:val="uk-UA"/>
        </w:rPr>
        <w:t>.</w:t>
      </w:r>
      <w:r w:rsidRPr="00926009">
        <w:rPr>
          <w:color w:val="000000"/>
          <w:sz w:val="28"/>
          <w:szCs w:val="28"/>
          <w:lang w:val="en-US"/>
        </w:rPr>
        <w:t>V</w:t>
      </w:r>
      <w:r w:rsidRPr="00926009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Pr="00926009">
        <w:rPr>
          <w:color w:val="000000"/>
          <w:sz w:val="28"/>
          <w:szCs w:val="28"/>
          <w:lang w:val="en-US"/>
        </w:rPr>
        <w:t>Gurtovenko</w:t>
      </w:r>
      <w:proofErr w:type="spellEnd"/>
      <w:r w:rsidRPr="00926009">
        <w:rPr>
          <w:color w:val="000000"/>
          <w:sz w:val="28"/>
          <w:szCs w:val="28"/>
          <w:lang w:val="uk-UA"/>
        </w:rPr>
        <w:t xml:space="preserve"> </w:t>
      </w:r>
      <w:r w:rsidRPr="00926009">
        <w:rPr>
          <w:color w:val="000000"/>
          <w:sz w:val="28"/>
          <w:szCs w:val="28"/>
          <w:lang w:val="en-US"/>
        </w:rPr>
        <w:t>A</w:t>
      </w:r>
      <w:r w:rsidRPr="00926009">
        <w:rPr>
          <w:color w:val="000000"/>
          <w:sz w:val="28"/>
          <w:szCs w:val="28"/>
          <w:lang w:val="uk-UA"/>
        </w:rPr>
        <w:t>.</w:t>
      </w:r>
      <w:r w:rsidRPr="00926009">
        <w:rPr>
          <w:color w:val="000000"/>
          <w:sz w:val="28"/>
          <w:szCs w:val="28"/>
          <w:lang w:val="en-US"/>
        </w:rPr>
        <w:t>M</w:t>
      </w:r>
      <w:r w:rsidRPr="00926009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Pr="00926009">
        <w:rPr>
          <w:color w:val="000000"/>
          <w:sz w:val="28"/>
          <w:szCs w:val="28"/>
          <w:lang w:val="en-US"/>
        </w:rPr>
        <w:t>Gumenyuk</w:t>
      </w:r>
      <w:proofErr w:type="spellEnd"/>
      <w:r w:rsidRPr="00926009">
        <w:rPr>
          <w:color w:val="000000"/>
          <w:sz w:val="28"/>
          <w:szCs w:val="28"/>
          <w:lang w:val="uk-UA"/>
        </w:rPr>
        <w:t xml:space="preserve"> </w:t>
      </w:r>
      <w:r w:rsidRPr="00926009">
        <w:rPr>
          <w:color w:val="000000"/>
          <w:sz w:val="28"/>
          <w:szCs w:val="28"/>
          <w:lang w:val="en-US"/>
        </w:rPr>
        <w:t>B</w:t>
      </w:r>
      <w:r w:rsidRPr="00926009">
        <w:rPr>
          <w:color w:val="000000"/>
          <w:sz w:val="28"/>
          <w:szCs w:val="28"/>
          <w:lang w:val="uk-UA"/>
        </w:rPr>
        <w:t>.</w:t>
      </w:r>
      <w:r w:rsidRPr="00926009">
        <w:rPr>
          <w:color w:val="000000"/>
          <w:sz w:val="28"/>
          <w:szCs w:val="28"/>
          <w:lang w:val="en-US"/>
        </w:rPr>
        <w:t>N</w:t>
      </w:r>
      <w:r w:rsidRPr="00926009">
        <w:rPr>
          <w:color w:val="000000"/>
          <w:sz w:val="28"/>
          <w:szCs w:val="28"/>
          <w:lang w:val="uk-UA"/>
        </w:rPr>
        <w:t xml:space="preserve">., , </w:t>
      </w:r>
      <w:proofErr w:type="spellStart"/>
      <w:r w:rsidRPr="00926009">
        <w:rPr>
          <w:color w:val="000000"/>
          <w:sz w:val="28"/>
          <w:szCs w:val="28"/>
          <w:lang w:val="en-US"/>
        </w:rPr>
        <w:t>Hripachenko</w:t>
      </w:r>
      <w:proofErr w:type="spellEnd"/>
      <w:r w:rsidRPr="00926009">
        <w:rPr>
          <w:color w:val="000000"/>
          <w:sz w:val="28"/>
          <w:szCs w:val="28"/>
          <w:lang w:val="uk-UA"/>
        </w:rPr>
        <w:t xml:space="preserve"> </w:t>
      </w:r>
      <w:r w:rsidRPr="00926009">
        <w:rPr>
          <w:color w:val="000000"/>
          <w:sz w:val="28"/>
          <w:szCs w:val="28"/>
          <w:lang w:val="en-US"/>
        </w:rPr>
        <w:t>A</w:t>
      </w:r>
      <w:r w:rsidRPr="00926009">
        <w:rPr>
          <w:color w:val="000000"/>
          <w:sz w:val="28"/>
          <w:szCs w:val="28"/>
          <w:lang w:val="uk-UA"/>
        </w:rPr>
        <w:t>.</w:t>
      </w:r>
      <w:r w:rsidRPr="00926009">
        <w:rPr>
          <w:color w:val="000000"/>
          <w:sz w:val="28"/>
          <w:szCs w:val="28"/>
          <w:lang w:val="en-US"/>
        </w:rPr>
        <w:t>I</w:t>
      </w:r>
      <w:r w:rsidRPr="00926009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Pr="00926009">
        <w:rPr>
          <w:color w:val="000000"/>
          <w:sz w:val="28"/>
          <w:szCs w:val="28"/>
          <w:lang w:val="en-US"/>
        </w:rPr>
        <w:t>Ti</w:t>
      </w:r>
      <w:r>
        <w:rPr>
          <w:color w:val="000000"/>
          <w:sz w:val="28"/>
          <w:szCs w:val="28"/>
          <w:lang w:val="en-US"/>
        </w:rPr>
        <w:t>k</w:t>
      </w:r>
      <w:r w:rsidRPr="00926009">
        <w:rPr>
          <w:color w:val="000000"/>
          <w:sz w:val="28"/>
          <w:szCs w:val="28"/>
          <w:lang w:val="en-US"/>
        </w:rPr>
        <w:t>honenko</w:t>
      </w:r>
      <w:proofErr w:type="spellEnd"/>
      <w:r w:rsidRPr="00926009">
        <w:rPr>
          <w:color w:val="000000"/>
          <w:sz w:val="28"/>
          <w:szCs w:val="28"/>
          <w:lang w:val="uk-UA"/>
        </w:rPr>
        <w:t xml:space="preserve"> </w:t>
      </w:r>
      <w:r w:rsidRPr="00926009">
        <w:rPr>
          <w:color w:val="000000"/>
          <w:sz w:val="28"/>
          <w:szCs w:val="28"/>
          <w:lang w:val="en-US"/>
        </w:rPr>
        <w:t>L</w:t>
      </w:r>
      <w:r w:rsidRPr="00926009">
        <w:rPr>
          <w:color w:val="000000"/>
          <w:sz w:val="28"/>
          <w:szCs w:val="28"/>
          <w:lang w:val="uk-UA"/>
        </w:rPr>
        <w:t>.</w:t>
      </w:r>
      <w:r w:rsidRPr="00926009">
        <w:rPr>
          <w:color w:val="000000"/>
          <w:sz w:val="28"/>
          <w:szCs w:val="28"/>
          <w:lang w:val="en-US"/>
        </w:rPr>
        <w:t>I</w:t>
      </w:r>
      <w:r w:rsidRPr="00926009">
        <w:rPr>
          <w:color w:val="000000"/>
          <w:sz w:val="28"/>
          <w:szCs w:val="28"/>
          <w:lang w:val="uk-UA"/>
        </w:rPr>
        <w:t>.,</w:t>
      </w:r>
      <w:r>
        <w:rPr>
          <w:rStyle w:val="af2"/>
          <w:color w:val="000000"/>
          <w:sz w:val="28"/>
          <w:szCs w:val="28"/>
          <w:lang w:val="uk-UA"/>
        </w:rPr>
        <w:footnoteReference w:id="2"/>
      </w:r>
      <w:r w:rsidRPr="00926009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  <w:lang w:val="en-US"/>
        </w:rPr>
        <w:t>Rudenko</w:t>
      </w:r>
      <w:proofErr w:type="spellEnd"/>
      <w:r>
        <w:rPr>
          <w:bCs/>
          <w:iCs/>
          <w:color w:val="000000"/>
          <w:sz w:val="28"/>
          <w:szCs w:val="28"/>
          <w:lang w:val="en-US"/>
        </w:rPr>
        <w:t xml:space="preserve"> E</w:t>
      </w:r>
      <w:r w:rsidRPr="00FE665D">
        <w:rPr>
          <w:bCs/>
          <w:iCs/>
          <w:color w:val="000000"/>
          <w:sz w:val="28"/>
          <w:szCs w:val="28"/>
          <w:lang w:val="uk-UA"/>
        </w:rPr>
        <w:t>.</w:t>
      </w:r>
      <w:r>
        <w:rPr>
          <w:bCs/>
          <w:iCs/>
          <w:color w:val="000000"/>
          <w:sz w:val="28"/>
          <w:szCs w:val="28"/>
          <w:lang w:val="en-US"/>
        </w:rPr>
        <w:t>V</w:t>
      </w:r>
      <w:r w:rsidRPr="00FE665D">
        <w:rPr>
          <w:bCs/>
          <w:iCs/>
          <w:color w:val="000000"/>
          <w:sz w:val="28"/>
          <w:szCs w:val="28"/>
          <w:lang w:val="uk-UA"/>
        </w:rPr>
        <w:t>.</w:t>
      </w:r>
    </w:p>
    <w:p w:rsidR="00DD4EE4" w:rsidRDefault="00DD4EE4" w:rsidP="00DD4EE4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  <w:r w:rsidRPr="00926009">
        <w:rPr>
          <w:color w:val="000000"/>
          <w:sz w:val="28"/>
          <w:szCs w:val="28"/>
          <w:lang w:val="uk-UA"/>
        </w:rPr>
        <w:t xml:space="preserve"> </w:t>
      </w:r>
    </w:p>
    <w:p w:rsidR="00DD4EE4" w:rsidRPr="00DC0BF2" w:rsidRDefault="00DD4EE4" w:rsidP="00DD4EE4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en-US"/>
        </w:rPr>
        <w:t xml:space="preserve">State enterprise </w:t>
      </w:r>
      <w:r w:rsidRPr="0046210B">
        <w:rPr>
          <w:i/>
          <w:iCs/>
          <w:color w:val="000000"/>
          <w:sz w:val="28"/>
          <w:szCs w:val="28"/>
          <w:lang w:val="en-US"/>
        </w:rPr>
        <w:t>«</w:t>
      </w:r>
      <w:proofErr w:type="spellStart"/>
      <w:r>
        <w:rPr>
          <w:i/>
          <w:iCs/>
          <w:color w:val="000000"/>
          <w:sz w:val="28"/>
          <w:szCs w:val="28"/>
          <w:lang w:val="en-US"/>
        </w:rPr>
        <w:t>N.M.Amosov</w:t>
      </w:r>
      <w:proofErr w:type="spellEnd"/>
      <w:r>
        <w:rPr>
          <w:i/>
          <w:iCs/>
          <w:color w:val="000000"/>
          <w:sz w:val="28"/>
          <w:szCs w:val="28"/>
          <w:lang w:val="en-US"/>
        </w:rPr>
        <w:t xml:space="preserve"> National Institute of Cardiovascular Surgery, National Academy of Medical Sciences</w:t>
      </w:r>
      <w:r>
        <w:rPr>
          <w:rStyle w:val="af2"/>
          <w:i/>
          <w:iCs/>
          <w:color w:val="000000"/>
          <w:sz w:val="28"/>
          <w:szCs w:val="28"/>
          <w:lang w:val="en-US"/>
        </w:rPr>
        <w:footnoteReference w:id="3"/>
      </w:r>
      <w:r>
        <w:rPr>
          <w:i/>
          <w:iCs/>
          <w:color w:val="000000"/>
          <w:sz w:val="28"/>
          <w:szCs w:val="28"/>
          <w:lang w:val="en-US"/>
        </w:rPr>
        <w:t>”, Kyiv, Ukraine</w:t>
      </w:r>
    </w:p>
    <w:p w:rsidR="00DD4EE4" w:rsidRPr="0046210B" w:rsidRDefault="00DD4EE4" w:rsidP="00DD4E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This paper represents the results concerning 317 patients treatment with mitral valve deformities having been operated in the Department of A</w:t>
      </w:r>
      <w:r w:rsidRPr="00DC0BF2">
        <w:rPr>
          <w:color w:val="000000"/>
          <w:sz w:val="28"/>
          <w:szCs w:val="28"/>
          <w:lang w:val="en-US"/>
        </w:rPr>
        <w:t xml:space="preserve">cquired </w:t>
      </w:r>
      <w:r>
        <w:rPr>
          <w:color w:val="000000"/>
          <w:sz w:val="28"/>
          <w:szCs w:val="28"/>
          <w:lang w:val="en-US"/>
        </w:rPr>
        <w:t>H</w:t>
      </w:r>
      <w:r w:rsidRPr="00DC0BF2">
        <w:rPr>
          <w:color w:val="000000"/>
          <w:sz w:val="28"/>
          <w:szCs w:val="28"/>
          <w:lang w:val="en-US"/>
        </w:rPr>
        <w:t xml:space="preserve">eart </w:t>
      </w:r>
      <w:r>
        <w:rPr>
          <w:color w:val="000000"/>
          <w:sz w:val="28"/>
          <w:szCs w:val="28"/>
          <w:lang w:val="en-US"/>
        </w:rPr>
        <w:t>D</w:t>
      </w:r>
      <w:r w:rsidRPr="00DC0BF2">
        <w:rPr>
          <w:color w:val="000000"/>
          <w:sz w:val="28"/>
          <w:szCs w:val="28"/>
          <w:lang w:val="en-US"/>
        </w:rPr>
        <w:t>iseases of</w:t>
      </w:r>
      <w:r>
        <w:rPr>
          <w:color w:val="000000"/>
          <w:sz w:val="28"/>
          <w:szCs w:val="28"/>
          <w:lang w:val="en-US"/>
        </w:rPr>
        <w:t xml:space="preserve"> the </w:t>
      </w:r>
      <w:proofErr w:type="spellStart"/>
      <w:r w:rsidRPr="00F428A9">
        <w:rPr>
          <w:color w:val="000000"/>
          <w:sz w:val="28"/>
          <w:szCs w:val="28"/>
          <w:lang w:val="en-US"/>
        </w:rPr>
        <w:t>N.M.Amosov</w:t>
      </w:r>
      <w:proofErr w:type="spellEnd"/>
      <w:r w:rsidRPr="00F428A9">
        <w:rPr>
          <w:color w:val="000000"/>
          <w:sz w:val="28"/>
          <w:szCs w:val="28"/>
          <w:lang w:val="en-US"/>
        </w:rPr>
        <w:t xml:space="preserve"> National Institute of Cardiovascular Surgery</w:t>
      </w:r>
      <w:r>
        <w:rPr>
          <w:color w:val="000000"/>
          <w:sz w:val="28"/>
          <w:szCs w:val="28"/>
          <w:lang w:val="en-US"/>
        </w:rPr>
        <w:t>, the cardiopulmonary bypass having been used in all cases.</w:t>
      </w:r>
      <w:r w:rsidRPr="0046210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All the patients observed were divided into two groups. The main group included </w:t>
      </w:r>
      <w:r w:rsidRPr="0046210B">
        <w:rPr>
          <w:color w:val="000000"/>
          <w:sz w:val="28"/>
          <w:szCs w:val="28"/>
          <w:lang w:val="en-US"/>
        </w:rPr>
        <w:t xml:space="preserve">227 </w:t>
      </w:r>
      <w:r>
        <w:rPr>
          <w:color w:val="000000"/>
          <w:sz w:val="28"/>
          <w:szCs w:val="28"/>
          <w:lang w:val="en-US"/>
        </w:rPr>
        <w:t xml:space="preserve">patients with mitral valve deformities; no donor blood preparations as well as blood-concentration columns or cell-savers were used for these persons’ treatment during their stay in the hospital. Several various blood-reserving approaches were elaborated and carried out in the Department during last </w:t>
      </w:r>
      <w:r w:rsidRPr="0046210B">
        <w:rPr>
          <w:color w:val="000000"/>
          <w:sz w:val="28"/>
          <w:szCs w:val="28"/>
          <w:lang w:val="en-US"/>
        </w:rPr>
        <w:t xml:space="preserve">15 </w:t>
      </w:r>
      <w:r>
        <w:rPr>
          <w:color w:val="000000"/>
          <w:sz w:val="28"/>
          <w:szCs w:val="28"/>
          <w:lang w:val="en-US"/>
        </w:rPr>
        <w:t>years</w:t>
      </w:r>
      <w:r>
        <w:rPr>
          <w:rStyle w:val="af2"/>
          <w:color w:val="000000"/>
          <w:sz w:val="28"/>
          <w:szCs w:val="28"/>
        </w:rPr>
        <w:footnoteReference w:id="4"/>
      </w:r>
      <w:r w:rsidRPr="0046210B">
        <w:rPr>
          <w:color w:val="000000"/>
          <w:sz w:val="28"/>
          <w:szCs w:val="28"/>
          <w:lang w:val="en-US"/>
        </w:rPr>
        <w:t>.</w:t>
      </w:r>
    </w:p>
    <w:p w:rsidR="00DD4EE4" w:rsidRPr="0097249E" w:rsidRDefault="00DD4EE4" w:rsidP="00DD4EE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  <w:lang w:val="uk-UA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Key  words</w:t>
      </w:r>
      <w:proofErr w:type="gramEnd"/>
      <w:r w:rsidRPr="0046210B">
        <w:rPr>
          <w:b/>
          <w:bCs/>
          <w:color w:val="000000"/>
          <w:sz w:val="28"/>
          <w:szCs w:val="28"/>
          <w:lang w:val="en-US"/>
        </w:rPr>
        <w:t>:</w:t>
      </w:r>
      <w:r w:rsidRPr="0046210B">
        <w:rPr>
          <w:color w:val="000000"/>
          <w:sz w:val="28"/>
          <w:szCs w:val="28"/>
          <w:lang w:val="en-US"/>
        </w:rPr>
        <w:t xml:space="preserve"> </w:t>
      </w:r>
      <w:r w:rsidRPr="00B20118">
        <w:rPr>
          <w:i/>
          <w:iCs/>
          <w:color w:val="000000"/>
          <w:sz w:val="28"/>
          <w:szCs w:val="28"/>
          <w:lang w:val="en-US"/>
        </w:rPr>
        <w:t>cardiopulmonary bypass,</w:t>
      </w:r>
      <w:r>
        <w:rPr>
          <w:color w:val="000000"/>
          <w:sz w:val="28"/>
          <w:szCs w:val="28"/>
          <w:lang w:val="en-US"/>
        </w:rPr>
        <w:t xml:space="preserve"> </w:t>
      </w:r>
      <w:r w:rsidRPr="00B20118">
        <w:rPr>
          <w:i/>
          <w:iCs/>
          <w:color w:val="000000"/>
          <w:sz w:val="28"/>
          <w:szCs w:val="28"/>
          <w:lang w:val="en-US"/>
        </w:rPr>
        <w:t>blood-reserving technology</w:t>
      </w:r>
      <w:r w:rsidRPr="0046210B">
        <w:rPr>
          <w:i/>
          <w:iCs/>
          <w:color w:val="000000"/>
          <w:sz w:val="28"/>
          <w:szCs w:val="28"/>
          <w:lang w:val="en-US"/>
        </w:rPr>
        <w:t xml:space="preserve">, </w:t>
      </w:r>
      <w:r>
        <w:rPr>
          <w:i/>
          <w:iCs/>
          <w:color w:val="000000"/>
          <w:sz w:val="28"/>
          <w:szCs w:val="28"/>
          <w:lang w:val="en-US"/>
        </w:rPr>
        <w:t>surgical treatment of mitral valve deformities</w:t>
      </w:r>
      <w:r w:rsidRPr="0046210B">
        <w:rPr>
          <w:i/>
          <w:iCs/>
          <w:color w:val="000000"/>
          <w:sz w:val="28"/>
          <w:szCs w:val="28"/>
          <w:lang w:val="en-US"/>
        </w:rPr>
        <w:t>.</w:t>
      </w:r>
    </w:p>
    <w:p w:rsidR="00DD4EE4" w:rsidRPr="0046210B" w:rsidRDefault="00DD4EE4" w:rsidP="00DD4EE4">
      <w:pPr>
        <w:pStyle w:val="1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  <w:lang w:val="en-US"/>
        </w:rPr>
      </w:pPr>
    </w:p>
    <w:p w:rsidR="00DD4EE4" w:rsidRPr="0046210B" w:rsidRDefault="00DD4EE4" w:rsidP="00DD4EE4">
      <w:pPr>
        <w:pStyle w:val="1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pacing w:val="-1"/>
          <w:sz w:val="28"/>
          <w:szCs w:val="28"/>
          <w:lang w:val="en-US"/>
        </w:rPr>
        <w:t>In essence, the transfusion of donor blood components is a variant of foreign</w:t>
      </w:r>
      <w:r w:rsidRPr="0046210B">
        <w:rPr>
          <w:color w:val="000000"/>
          <w:spacing w:val="-1"/>
          <w:sz w:val="28"/>
          <w:szCs w:val="28"/>
          <w:lang w:val="en-US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 xml:space="preserve">  tissue transplantation; it is accompanied by risks of different post-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transfusional</w:t>
      </w:r>
      <w:proofErr w:type="spellEnd"/>
      <w:r>
        <w:rPr>
          <w:color w:val="000000"/>
          <w:spacing w:val="-1"/>
          <w:sz w:val="28"/>
          <w:szCs w:val="28"/>
          <w:lang w:val="en-US"/>
        </w:rPr>
        <w:t xml:space="preserve">   reactions and complications of both immune and non-immune origin</w:t>
      </w:r>
      <w:r w:rsidRPr="0046210B">
        <w:rPr>
          <w:color w:val="000000"/>
          <w:spacing w:val="-1"/>
          <w:sz w:val="28"/>
          <w:szCs w:val="28"/>
          <w:lang w:val="en-US"/>
        </w:rPr>
        <w:t xml:space="preserve">. </w:t>
      </w:r>
      <w:r>
        <w:rPr>
          <w:color w:val="000000"/>
          <w:spacing w:val="-1"/>
          <w:sz w:val="28"/>
          <w:szCs w:val="28"/>
          <w:lang w:val="en-US"/>
        </w:rPr>
        <w:t>There is also a danger of various blood-borne infections</w:t>
      </w:r>
      <w:r>
        <w:rPr>
          <w:rStyle w:val="af2"/>
          <w:color w:val="000000"/>
          <w:spacing w:val="-1"/>
          <w:sz w:val="28"/>
          <w:szCs w:val="28"/>
          <w:lang w:val="en-US"/>
        </w:rPr>
        <w:footnoteReference w:id="5"/>
      </w:r>
      <w:r w:rsidRPr="0046210B">
        <w:rPr>
          <w:color w:val="000000"/>
          <w:spacing w:val="-1"/>
          <w:sz w:val="28"/>
          <w:szCs w:val="28"/>
          <w:lang w:val="en-US"/>
        </w:rPr>
        <w:t xml:space="preserve"> (</w:t>
      </w:r>
      <w:r>
        <w:rPr>
          <w:color w:val="000000"/>
          <w:spacing w:val="-1"/>
          <w:sz w:val="28"/>
          <w:szCs w:val="28"/>
          <w:lang w:val="en-US"/>
        </w:rPr>
        <w:t xml:space="preserve">different 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hepatitides</w:t>
      </w:r>
      <w:proofErr w:type="spellEnd"/>
      <w:r>
        <w:rPr>
          <w:color w:val="000000"/>
          <w:spacing w:val="-1"/>
          <w:sz w:val="28"/>
          <w:szCs w:val="28"/>
          <w:lang w:val="en-US"/>
        </w:rPr>
        <w:t>, AIDS</w:t>
      </w:r>
      <w:r w:rsidRPr="0046210B">
        <w:rPr>
          <w:color w:val="000000"/>
          <w:spacing w:val="-1"/>
          <w:sz w:val="28"/>
          <w:szCs w:val="28"/>
          <w:lang w:val="en-US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cytomegalovirus, syphilis</w:t>
      </w:r>
      <w:r w:rsidRPr="0046210B">
        <w:rPr>
          <w:color w:val="000000"/>
          <w:spacing w:val="-1"/>
          <w:sz w:val="28"/>
          <w:szCs w:val="28"/>
          <w:lang w:val="en-US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transfusion-caused mononucleosis, malaria etc</w:t>
      </w:r>
      <w:r w:rsidRPr="0046210B">
        <w:rPr>
          <w:color w:val="000000"/>
          <w:spacing w:val="-1"/>
          <w:sz w:val="28"/>
          <w:szCs w:val="28"/>
          <w:lang w:val="en-US"/>
        </w:rPr>
        <w:t xml:space="preserve">.), </w:t>
      </w:r>
      <w:r>
        <w:rPr>
          <w:color w:val="000000"/>
          <w:spacing w:val="-1"/>
          <w:sz w:val="28"/>
          <w:szCs w:val="28"/>
          <w:lang w:val="en-US"/>
        </w:rPr>
        <w:t xml:space="preserve">their quantity becoming continuously higher. A proven fact is a </w:t>
      </w:r>
      <w:r>
        <w:rPr>
          <w:color w:val="000000"/>
          <w:spacing w:val="-1"/>
          <w:sz w:val="28"/>
          <w:szCs w:val="28"/>
          <w:lang w:val="en-US"/>
        </w:rPr>
        <w:lastRenderedPageBreak/>
        <w:t xml:space="preserve">marked 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immunosuppressional</w:t>
      </w:r>
      <w:proofErr w:type="spellEnd"/>
      <w:r>
        <w:rPr>
          <w:color w:val="000000"/>
          <w:spacing w:val="-1"/>
          <w:sz w:val="28"/>
          <w:szCs w:val="28"/>
          <w:lang w:val="en-US"/>
        </w:rPr>
        <w:t xml:space="preserve"> effect on the recipient’s organism following 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allohemotransfusions</w:t>
      </w:r>
      <w:proofErr w:type="spellEnd"/>
      <w:r w:rsidRPr="0046210B">
        <w:rPr>
          <w:color w:val="000000"/>
          <w:spacing w:val="-1"/>
          <w:sz w:val="28"/>
          <w:szCs w:val="28"/>
          <w:lang w:val="en-US"/>
        </w:rPr>
        <w:t xml:space="preserve"> </w:t>
      </w:r>
      <w:r w:rsidRPr="0046210B">
        <w:rPr>
          <w:color w:val="000000"/>
          <w:sz w:val="28"/>
          <w:szCs w:val="28"/>
          <w:lang w:val="en-US"/>
        </w:rPr>
        <w:t>[1,</w:t>
      </w:r>
      <w:r>
        <w:rPr>
          <w:color w:val="000000"/>
          <w:sz w:val="28"/>
          <w:szCs w:val="28"/>
          <w:lang w:val="en-US"/>
        </w:rPr>
        <w:t xml:space="preserve"> </w:t>
      </w:r>
      <w:r w:rsidRPr="0046210B">
        <w:rPr>
          <w:color w:val="000000"/>
          <w:sz w:val="28"/>
          <w:szCs w:val="28"/>
          <w:lang w:val="en-US"/>
        </w:rPr>
        <w:t>5</w:t>
      </w:r>
      <w:r>
        <w:rPr>
          <w:color w:val="000000"/>
          <w:sz w:val="28"/>
          <w:szCs w:val="28"/>
          <w:lang w:val="en-US"/>
        </w:rPr>
        <w:t>-7</w:t>
      </w:r>
      <w:r w:rsidRPr="0046210B"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  <w:lang w:val="en-US"/>
        </w:rPr>
        <w:t xml:space="preserve"> </w:t>
      </w:r>
      <w:r w:rsidRPr="0046210B">
        <w:rPr>
          <w:color w:val="000000"/>
          <w:sz w:val="28"/>
          <w:szCs w:val="28"/>
          <w:lang w:val="en-US"/>
        </w:rPr>
        <w:t xml:space="preserve">10]. </w:t>
      </w:r>
      <w:r>
        <w:rPr>
          <w:color w:val="000000"/>
          <w:sz w:val="28"/>
          <w:szCs w:val="28"/>
          <w:lang w:val="en-US"/>
        </w:rPr>
        <w:t xml:space="preserve">Currently, the clinicians become more and more often witnesses of ethical and juridical collisions due to patients’ refusal from 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allohemotransfusions</w:t>
      </w:r>
      <w:proofErr w:type="spellEnd"/>
      <w:r w:rsidRPr="0046210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because of doubtful donor blood safety as well as because of patients’ religious principles</w:t>
      </w:r>
      <w:r w:rsidRPr="0046210B">
        <w:rPr>
          <w:color w:val="000000"/>
          <w:sz w:val="28"/>
          <w:szCs w:val="28"/>
          <w:lang w:val="en-US"/>
        </w:rPr>
        <w:t xml:space="preserve"> [10].</w:t>
      </w:r>
    </w:p>
    <w:p w:rsidR="00DD4EE4" w:rsidRPr="0046210B" w:rsidRDefault="00DD4EE4" w:rsidP="00DD4EE4">
      <w:pPr>
        <w:pStyle w:val="1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In should also mention a low functional efficacy of donor </w:t>
      </w:r>
      <w:proofErr w:type="spellStart"/>
      <w:r>
        <w:rPr>
          <w:color w:val="000000"/>
          <w:sz w:val="28"/>
          <w:szCs w:val="28"/>
          <w:lang w:val="en-US"/>
        </w:rPr>
        <w:t>erythrocytic</w:t>
      </w:r>
      <w:proofErr w:type="spellEnd"/>
      <w:r>
        <w:rPr>
          <w:color w:val="000000"/>
          <w:sz w:val="28"/>
          <w:szCs w:val="28"/>
          <w:lang w:val="en-US"/>
        </w:rPr>
        <w:t xml:space="preserve"> mass (EM) use because of sequestration of transfused erythrocytes (up to </w:t>
      </w:r>
      <w:r w:rsidRPr="0046210B">
        <w:rPr>
          <w:color w:val="000000"/>
          <w:sz w:val="28"/>
          <w:szCs w:val="28"/>
          <w:lang w:val="en-US"/>
        </w:rPr>
        <w:t>25–30%</w:t>
      </w:r>
      <w:r>
        <w:rPr>
          <w:color w:val="000000"/>
          <w:sz w:val="28"/>
          <w:szCs w:val="28"/>
          <w:lang w:val="en-US"/>
        </w:rPr>
        <w:t>) and decrease of their 2</w:t>
      </w:r>
      <w:proofErr w:type="gramStart"/>
      <w:r>
        <w:rPr>
          <w:color w:val="000000"/>
          <w:sz w:val="28"/>
          <w:szCs w:val="28"/>
          <w:lang w:val="en-US"/>
        </w:rPr>
        <w:t>,3</w:t>
      </w:r>
      <w:proofErr w:type="gramEnd"/>
      <w:r>
        <w:rPr>
          <w:color w:val="000000"/>
          <w:sz w:val="28"/>
          <w:szCs w:val="28"/>
          <w:lang w:val="en-US"/>
        </w:rPr>
        <w:t>-diphosphoglycerate (2,3-DPG) content</w:t>
      </w:r>
      <w:r w:rsidRPr="0046210B">
        <w:rPr>
          <w:color w:val="000000"/>
          <w:sz w:val="28"/>
          <w:szCs w:val="28"/>
          <w:lang w:val="en-US"/>
        </w:rPr>
        <w:t>.</w:t>
      </w:r>
      <w:r w:rsidRPr="0046210B">
        <w:rPr>
          <w:spacing w:val="1"/>
          <w:sz w:val="28"/>
          <w:szCs w:val="28"/>
          <w:lang w:val="en-US"/>
        </w:rPr>
        <w:t xml:space="preserve"> </w:t>
      </w:r>
      <w:r>
        <w:rPr>
          <w:spacing w:val="1"/>
          <w:sz w:val="28"/>
          <w:szCs w:val="28"/>
          <w:lang w:val="en-US"/>
        </w:rPr>
        <w:t>In such conditions the hemoglobin-bound oxygen is poorly given to tissues. Thus, the transfused donor blood does not significantly improve the oxygen transport to tissues</w:t>
      </w:r>
      <w:r w:rsidRPr="0046210B">
        <w:rPr>
          <w:spacing w:val="1"/>
          <w:sz w:val="28"/>
          <w:szCs w:val="28"/>
          <w:lang w:val="en-US"/>
        </w:rPr>
        <w:t xml:space="preserve"> </w:t>
      </w:r>
      <w:r w:rsidRPr="0046210B">
        <w:rPr>
          <w:color w:val="000000"/>
          <w:sz w:val="28"/>
          <w:szCs w:val="28"/>
          <w:lang w:val="en-US"/>
        </w:rPr>
        <w:t>[1–7]</w:t>
      </w:r>
      <w:r w:rsidRPr="0046210B">
        <w:rPr>
          <w:spacing w:val="1"/>
          <w:sz w:val="28"/>
          <w:szCs w:val="28"/>
          <w:lang w:val="en-US"/>
        </w:rPr>
        <w:t xml:space="preserve">. </w:t>
      </w:r>
      <w:r>
        <w:rPr>
          <w:spacing w:val="1"/>
          <w:sz w:val="28"/>
          <w:szCs w:val="28"/>
          <w:lang w:val="en-US"/>
        </w:rPr>
        <w:t>It is completely clear the problem of blood-reserving technologies to be an extremely burning one</w:t>
      </w:r>
      <w:r w:rsidRPr="0046210B">
        <w:rPr>
          <w:spacing w:val="1"/>
          <w:sz w:val="28"/>
          <w:szCs w:val="28"/>
          <w:lang w:val="en-US"/>
        </w:rPr>
        <w:t>.</w:t>
      </w:r>
    </w:p>
    <w:p w:rsidR="00DD4EE4" w:rsidRPr="0046210B" w:rsidRDefault="00DD4EE4" w:rsidP="00DD4E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The aim of this work</w:t>
      </w:r>
      <w:r w:rsidRPr="0046210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is to study up-to-date possibilities of blood-reserving</w:t>
      </w:r>
      <w:r>
        <w:rPr>
          <w:rStyle w:val="af2"/>
          <w:color w:val="000000"/>
          <w:sz w:val="28"/>
          <w:szCs w:val="28"/>
          <w:lang w:val="en-US"/>
        </w:rPr>
        <w:footnoteReference w:id="6"/>
      </w:r>
      <w:r>
        <w:rPr>
          <w:color w:val="000000"/>
          <w:sz w:val="28"/>
          <w:szCs w:val="28"/>
          <w:lang w:val="en-US"/>
        </w:rPr>
        <w:t xml:space="preserve"> approach in surgical correction of mitral valve deformities (MVD) using the cardiopulmonary bypass (CPB)</w:t>
      </w:r>
      <w:r w:rsidRPr="0046210B">
        <w:rPr>
          <w:color w:val="000000"/>
          <w:sz w:val="28"/>
          <w:szCs w:val="28"/>
          <w:lang w:val="en-US"/>
        </w:rPr>
        <w:t>.</w:t>
      </w:r>
    </w:p>
    <w:p w:rsidR="00DD4EE4" w:rsidRPr="00DC0BF2" w:rsidRDefault="00DD4EE4" w:rsidP="00DD4E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en-US"/>
        </w:rPr>
        <w:t>Key words</w:t>
      </w:r>
      <w:r w:rsidRPr="0046210B">
        <w:rPr>
          <w:b/>
          <w:bCs/>
          <w:color w:val="000000"/>
          <w:sz w:val="28"/>
          <w:szCs w:val="28"/>
          <w:lang w:val="en-US"/>
        </w:rPr>
        <w:t>:</w:t>
      </w:r>
      <w:r w:rsidRPr="0046210B">
        <w:rPr>
          <w:color w:val="000000"/>
          <w:sz w:val="28"/>
          <w:szCs w:val="28"/>
          <w:lang w:val="en-US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cardiopulmonary bypass, approach without donor blood use, mitral valve correction</w:t>
      </w:r>
      <w:r w:rsidRPr="0046210B">
        <w:rPr>
          <w:i/>
          <w:iCs/>
          <w:color w:val="000000"/>
          <w:sz w:val="28"/>
          <w:szCs w:val="28"/>
          <w:lang w:val="en-US"/>
        </w:rPr>
        <w:t>.</w:t>
      </w:r>
    </w:p>
    <w:p w:rsidR="00DD4EE4" w:rsidRPr="0046210B" w:rsidRDefault="00DD4EE4" w:rsidP="00DD4EE4">
      <w:pPr>
        <w:spacing w:line="360" w:lineRule="auto"/>
        <w:ind w:firstLine="709"/>
        <w:jc w:val="both"/>
        <w:rPr>
          <w:snapToGrid w:val="0"/>
          <w:sz w:val="28"/>
          <w:szCs w:val="28"/>
          <w:lang w:val="en-US"/>
        </w:rPr>
      </w:pPr>
      <w:proofErr w:type="gramStart"/>
      <w:r>
        <w:rPr>
          <w:b/>
          <w:bCs/>
          <w:snapToGrid w:val="0"/>
          <w:sz w:val="28"/>
          <w:szCs w:val="28"/>
          <w:lang w:val="en-US"/>
        </w:rPr>
        <w:t>Materials and methods</w:t>
      </w:r>
      <w:r w:rsidRPr="0046210B">
        <w:rPr>
          <w:b/>
          <w:bCs/>
          <w:snapToGrid w:val="0"/>
          <w:sz w:val="28"/>
          <w:szCs w:val="28"/>
          <w:lang w:val="en-US"/>
        </w:rPr>
        <w:t>.</w:t>
      </w:r>
      <w:proofErr w:type="gramEnd"/>
      <w:r w:rsidRPr="0046210B">
        <w:rPr>
          <w:snapToGrid w:val="0"/>
          <w:sz w:val="28"/>
          <w:szCs w:val="28"/>
          <w:lang w:val="en-US"/>
        </w:rPr>
        <w:t xml:space="preserve"> </w:t>
      </w:r>
      <w:proofErr w:type="gramStart"/>
      <w:r>
        <w:rPr>
          <w:snapToGrid w:val="0"/>
          <w:sz w:val="28"/>
          <w:szCs w:val="28"/>
          <w:lang w:val="en-US"/>
        </w:rPr>
        <w:t xml:space="preserve">During the period from </w:t>
      </w:r>
      <w:r w:rsidRPr="00482A7F">
        <w:rPr>
          <w:snapToGrid w:val="0"/>
          <w:sz w:val="28"/>
          <w:szCs w:val="28"/>
          <w:lang w:val="en-US"/>
        </w:rPr>
        <w:t xml:space="preserve">the </w:t>
      </w:r>
      <w:r w:rsidRPr="0046210B">
        <w:rPr>
          <w:snapToGrid w:val="0"/>
          <w:sz w:val="28"/>
          <w:szCs w:val="28"/>
          <w:lang w:val="en-US"/>
        </w:rPr>
        <w:t xml:space="preserve">01.01.2000 </w:t>
      </w:r>
      <w:r w:rsidRPr="00482A7F">
        <w:rPr>
          <w:snapToGrid w:val="0"/>
          <w:sz w:val="28"/>
          <w:szCs w:val="28"/>
          <w:lang w:val="en-US"/>
        </w:rPr>
        <w:t>till the</w:t>
      </w:r>
      <w:r w:rsidRPr="0046210B">
        <w:rPr>
          <w:snapToGrid w:val="0"/>
          <w:sz w:val="28"/>
          <w:szCs w:val="28"/>
          <w:lang w:val="en-US"/>
        </w:rPr>
        <w:t xml:space="preserve"> 01.01.</w:t>
      </w:r>
      <w:proofErr w:type="gramEnd"/>
      <w:r w:rsidRPr="0046210B">
        <w:rPr>
          <w:snapToGrid w:val="0"/>
          <w:sz w:val="28"/>
          <w:szCs w:val="28"/>
          <w:lang w:val="en-US"/>
        </w:rPr>
        <w:t xml:space="preserve"> 2016</w:t>
      </w:r>
      <w:r>
        <w:rPr>
          <w:snapToGrid w:val="0"/>
          <w:sz w:val="28"/>
          <w:szCs w:val="28"/>
          <w:lang w:val="en-US"/>
        </w:rPr>
        <w:t xml:space="preserve">, workers of the </w:t>
      </w:r>
      <w:r>
        <w:rPr>
          <w:color w:val="000000"/>
          <w:sz w:val="28"/>
          <w:szCs w:val="28"/>
          <w:lang w:val="en-US"/>
        </w:rPr>
        <w:t>Department of A</w:t>
      </w:r>
      <w:r w:rsidRPr="00DC0BF2">
        <w:rPr>
          <w:color w:val="000000"/>
          <w:sz w:val="28"/>
          <w:szCs w:val="28"/>
          <w:lang w:val="en-US"/>
        </w:rPr>
        <w:t xml:space="preserve">cquired </w:t>
      </w:r>
      <w:r>
        <w:rPr>
          <w:color w:val="000000"/>
          <w:sz w:val="28"/>
          <w:szCs w:val="28"/>
          <w:lang w:val="en-US"/>
        </w:rPr>
        <w:t>H</w:t>
      </w:r>
      <w:r w:rsidRPr="00DC0BF2">
        <w:rPr>
          <w:color w:val="000000"/>
          <w:sz w:val="28"/>
          <w:szCs w:val="28"/>
          <w:lang w:val="en-US"/>
        </w:rPr>
        <w:t xml:space="preserve">eart </w:t>
      </w:r>
      <w:r>
        <w:rPr>
          <w:color w:val="000000"/>
          <w:sz w:val="28"/>
          <w:szCs w:val="28"/>
          <w:lang w:val="en-US"/>
        </w:rPr>
        <w:t>D</w:t>
      </w:r>
      <w:r w:rsidRPr="00DC0BF2">
        <w:rPr>
          <w:color w:val="000000"/>
          <w:sz w:val="28"/>
          <w:szCs w:val="28"/>
          <w:lang w:val="en-US"/>
        </w:rPr>
        <w:t>iseases of</w:t>
      </w:r>
      <w:r>
        <w:rPr>
          <w:color w:val="000000"/>
          <w:sz w:val="28"/>
          <w:szCs w:val="28"/>
          <w:lang w:val="en-US"/>
        </w:rPr>
        <w:t xml:space="preserve"> the </w:t>
      </w:r>
      <w:proofErr w:type="spellStart"/>
      <w:r w:rsidRPr="00F428A9">
        <w:rPr>
          <w:color w:val="000000"/>
          <w:sz w:val="28"/>
          <w:szCs w:val="28"/>
          <w:lang w:val="en-US"/>
        </w:rPr>
        <w:t>N.M.Amosov</w:t>
      </w:r>
      <w:proofErr w:type="spellEnd"/>
      <w:r w:rsidRPr="00F428A9">
        <w:rPr>
          <w:color w:val="000000"/>
          <w:sz w:val="28"/>
          <w:szCs w:val="28"/>
          <w:lang w:val="en-US"/>
        </w:rPr>
        <w:t xml:space="preserve"> National Institute of Cardiovascular Surgery</w:t>
      </w:r>
      <w:r>
        <w:rPr>
          <w:snapToGrid w:val="0"/>
          <w:sz w:val="28"/>
          <w:szCs w:val="28"/>
          <w:lang w:val="en-US"/>
        </w:rPr>
        <w:t xml:space="preserve"> were elaborating different approaches aiming to obtain blood-reserving technologies to be used in cases of surgical interventions necessary because of acquired valve pathology in conditions of cardiopulmonary bypass (CPB); in 937 cases the surgeons carried successfully  out operations and the following patients’ hospital treatment without use of donor blood and its components. No </w:t>
      </w:r>
      <w:proofErr w:type="spellStart"/>
      <w:r>
        <w:rPr>
          <w:snapToGrid w:val="0"/>
          <w:sz w:val="28"/>
          <w:szCs w:val="28"/>
          <w:lang w:val="en-US"/>
        </w:rPr>
        <w:t>hemoconcentrating</w:t>
      </w:r>
      <w:proofErr w:type="spellEnd"/>
      <w:r>
        <w:rPr>
          <w:snapToGrid w:val="0"/>
          <w:sz w:val="28"/>
          <w:szCs w:val="28"/>
          <w:lang w:val="en-US"/>
        </w:rPr>
        <w:t xml:space="preserve"> columns or cell savers were also used</w:t>
      </w:r>
      <w:r w:rsidRPr="0046210B">
        <w:rPr>
          <w:color w:val="000000"/>
          <w:sz w:val="28"/>
          <w:szCs w:val="28"/>
          <w:lang w:val="en-US"/>
        </w:rPr>
        <w:t>.</w:t>
      </w:r>
    </w:p>
    <w:p w:rsidR="00DD4EE4" w:rsidRPr="0046210B" w:rsidRDefault="00DD4EE4" w:rsidP="00DD4EE4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This paper represents the results concerning 317 patients with </w:t>
      </w:r>
      <w:proofErr w:type="gramStart"/>
      <w:r>
        <w:rPr>
          <w:color w:val="000000"/>
          <w:sz w:val="28"/>
          <w:szCs w:val="28"/>
          <w:lang w:val="en-US"/>
        </w:rPr>
        <w:t>MVDs  treated</w:t>
      </w:r>
      <w:proofErr w:type="gramEnd"/>
      <w:r>
        <w:rPr>
          <w:color w:val="000000"/>
          <w:sz w:val="28"/>
          <w:szCs w:val="28"/>
          <w:lang w:val="en-US"/>
        </w:rPr>
        <w:t xml:space="preserve"> in our Department and operated using the CPB from the</w:t>
      </w:r>
      <w:r w:rsidRPr="00C5605A">
        <w:rPr>
          <w:b/>
          <w:bCs/>
          <w:color w:val="000000"/>
          <w:sz w:val="28"/>
          <w:szCs w:val="28"/>
          <w:lang w:val="en-US"/>
        </w:rPr>
        <w:t xml:space="preserve">  </w:t>
      </w:r>
      <w:r w:rsidRPr="0046210B">
        <w:rPr>
          <w:color w:val="000000"/>
          <w:sz w:val="28"/>
          <w:szCs w:val="28"/>
          <w:lang w:val="en-US"/>
        </w:rPr>
        <w:t xml:space="preserve">01.01. </w:t>
      </w:r>
      <w:proofErr w:type="gramStart"/>
      <w:r w:rsidRPr="0046210B">
        <w:rPr>
          <w:color w:val="000000"/>
          <w:sz w:val="28"/>
          <w:szCs w:val="28"/>
          <w:lang w:val="en-US"/>
        </w:rPr>
        <w:t xml:space="preserve">2004 </w:t>
      </w:r>
      <w:r w:rsidRPr="00482A7F">
        <w:rPr>
          <w:color w:val="000000"/>
          <w:sz w:val="28"/>
          <w:szCs w:val="28"/>
          <w:lang w:val="en-US"/>
        </w:rPr>
        <w:t xml:space="preserve"> till</w:t>
      </w:r>
      <w:proofErr w:type="gramEnd"/>
      <w:r w:rsidRPr="00482A7F">
        <w:rPr>
          <w:color w:val="000000"/>
          <w:sz w:val="28"/>
          <w:szCs w:val="28"/>
          <w:lang w:val="en-US"/>
        </w:rPr>
        <w:t xml:space="preserve"> </w:t>
      </w:r>
      <w:r w:rsidRPr="0046210B">
        <w:rPr>
          <w:color w:val="000000"/>
          <w:sz w:val="28"/>
          <w:szCs w:val="28"/>
          <w:lang w:val="en-US"/>
        </w:rPr>
        <w:t>01.01.2009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All the patients examined were divided into two groups; the main one included </w:t>
      </w:r>
      <w:r w:rsidRPr="0046210B">
        <w:rPr>
          <w:color w:val="000000"/>
          <w:sz w:val="28"/>
          <w:szCs w:val="28"/>
          <w:lang w:val="en-US"/>
        </w:rPr>
        <w:t xml:space="preserve">227 </w:t>
      </w:r>
      <w:r>
        <w:rPr>
          <w:color w:val="000000"/>
          <w:sz w:val="28"/>
          <w:szCs w:val="28"/>
          <w:lang w:val="en-US"/>
        </w:rPr>
        <w:t xml:space="preserve">patients with MDVs operated without introduction of donor </w:t>
      </w:r>
      <w:r>
        <w:rPr>
          <w:color w:val="000000"/>
          <w:sz w:val="28"/>
          <w:szCs w:val="28"/>
          <w:lang w:val="en-US"/>
        </w:rPr>
        <w:lastRenderedPageBreak/>
        <w:t>blood preparations or of its components</w:t>
      </w:r>
      <w:r w:rsidRPr="0046210B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 xml:space="preserve"> Different variants of blood-reserving approaches were used for these patients’ treatment, no preparations of donor blood or its components having been introduced at any stage of the post-operative period</w:t>
      </w:r>
      <w:r w:rsidRPr="0046210B">
        <w:rPr>
          <w:color w:val="000000"/>
          <w:sz w:val="28"/>
          <w:szCs w:val="28"/>
          <w:lang w:val="en-US"/>
        </w:rPr>
        <w:t xml:space="preserve">. </w:t>
      </w:r>
    </w:p>
    <w:p w:rsidR="00DD4EE4" w:rsidRPr="0046210B" w:rsidRDefault="00DD4EE4" w:rsidP="00DD4EE4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The control group included </w:t>
      </w:r>
      <w:r w:rsidRPr="0046210B">
        <w:rPr>
          <w:color w:val="000000"/>
          <w:sz w:val="28"/>
          <w:szCs w:val="28"/>
          <w:lang w:val="en-US"/>
        </w:rPr>
        <w:t xml:space="preserve">90 </w:t>
      </w:r>
      <w:r>
        <w:rPr>
          <w:color w:val="000000"/>
          <w:sz w:val="28"/>
          <w:szCs w:val="28"/>
          <w:lang w:val="en-US"/>
        </w:rPr>
        <w:t>persons with the same pathology; however, no blood-reserving approaches were carried out; donor blood preparations or blood components were introduced both during intra-operative and post-operative period</w:t>
      </w:r>
      <w:r w:rsidRPr="0046210B">
        <w:rPr>
          <w:color w:val="000000"/>
          <w:sz w:val="28"/>
          <w:szCs w:val="28"/>
          <w:lang w:val="en-US"/>
        </w:rPr>
        <w:t>.</w:t>
      </w:r>
    </w:p>
    <w:p w:rsidR="00DD4EE4" w:rsidRPr="0046210B" w:rsidRDefault="00DD4EE4" w:rsidP="00DD4EE4">
      <w:pPr>
        <w:pStyle w:val="1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main group contained </w:t>
      </w:r>
      <w:r w:rsidRPr="0046210B">
        <w:rPr>
          <w:sz w:val="28"/>
          <w:szCs w:val="28"/>
          <w:lang w:val="en-US"/>
        </w:rPr>
        <w:t xml:space="preserve">227 </w:t>
      </w:r>
      <w:r>
        <w:rPr>
          <w:sz w:val="28"/>
          <w:szCs w:val="28"/>
          <w:lang w:val="en-US"/>
        </w:rPr>
        <w:t xml:space="preserve">patients including </w:t>
      </w:r>
      <w:r w:rsidRPr="0046210B">
        <w:rPr>
          <w:sz w:val="28"/>
          <w:szCs w:val="28"/>
          <w:lang w:val="en-US"/>
        </w:rPr>
        <w:t>83 (36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6%) </w:t>
      </w:r>
      <w:r>
        <w:rPr>
          <w:sz w:val="28"/>
          <w:szCs w:val="28"/>
          <w:lang w:val="en-US"/>
        </w:rPr>
        <w:t xml:space="preserve">men and </w:t>
      </w:r>
      <w:r w:rsidRPr="0046210B">
        <w:rPr>
          <w:sz w:val="28"/>
          <w:szCs w:val="28"/>
          <w:lang w:val="en-US"/>
        </w:rPr>
        <w:t>144 (63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4%) </w:t>
      </w:r>
      <w:r>
        <w:rPr>
          <w:sz w:val="28"/>
          <w:szCs w:val="28"/>
          <w:lang w:val="en-US"/>
        </w:rPr>
        <w:t xml:space="preserve">women aged from 18 up to 70, their mean age being </w:t>
      </w:r>
      <w:r w:rsidRPr="0046210B">
        <w:rPr>
          <w:sz w:val="28"/>
          <w:szCs w:val="28"/>
          <w:lang w:val="en-US"/>
        </w:rPr>
        <w:t>51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3±9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 xml:space="preserve"> yr</w:t>
      </w:r>
      <w:r w:rsidRPr="0046210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The control group consisted of </w:t>
      </w:r>
      <w:r w:rsidRPr="0046210B">
        <w:rPr>
          <w:sz w:val="28"/>
          <w:szCs w:val="28"/>
          <w:lang w:val="en-US"/>
        </w:rPr>
        <w:t xml:space="preserve">90 </w:t>
      </w:r>
      <w:r>
        <w:rPr>
          <w:sz w:val="28"/>
          <w:szCs w:val="28"/>
          <w:lang w:val="en-US"/>
        </w:rPr>
        <w:t xml:space="preserve">patients including </w:t>
      </w:r>
      <w:r w:rsidRPr="0046210B">
        <w:rPr>
          <w:sz w:val="28"/>
          <w:szCs w:val="28"/>
          <w:lang w:val="en-US"/>
        </w:rPr>
        <w:t>40 (44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4%) </w:t>
      </w:r>
      <w:r>
        <w:rPr>
          <w:sz w:val="28"/>
          <w:szCs w:val="28"/>
          <w:lang w:val="en-US"/>
        </w:rPr>
        <w:t xml:space="preserve">men and </w:t>
      </w:r>
      <w:r w:rsidRPr="0046210B">
        <w:rPr>
          <w:sz w:val="28"/>
          <w:szCs w:val="28"/>
          <w:lang w:val="en-US"/>
        </w:rPr>
        <w:t>50 (55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6%) </w:t>
      </w:r>
      <w:r>
        <w:rPr>
          <w:sz w:val="28"/>
          <w:szCs w:val="28"/>
          <w:lang w:val="en-US"/>
        </w:rPr>
        <w:t xml:space="preserve">women aged from </w:t>
      </w:r>
      <w:r w:rsidRPr="0046210B">
        <w:rPr>
          <w:sz w:val="28"/>
          <w:szCs w:val="28"/>
          <w:lang w:val="en-US"/>
        </w:rPr>
        <w:t xml:space="preserve">18 </w:t>
      </w:r>
      <w:r>
        <w:rPr>
          <w:sz w:val="28"/>
          <w:szCs w:val="28"/>
          <w:lang w:val="en-US"/>
        </w:rPr>
        <w:t xml:space="preserve">up to </w:t>
      </w:r>
      <w:r w:rsidRPr="0046210B">
        <w:rPr>
          <w:sz w:val="28"/>
          <w:szCs w:val="28"/>
          <w:lang w:val="en-US"/>
        </w:rPr>
        <w:t>70</w:t>
      </w:r>
      <w:r>
        <w:rPr>
          <w:sz w:val="28"/>
          <w:szCs w:val="28"/>
          <w:lang w:val="en-US"/>
        </w:rPr>
        <w:t xml:space="preserve">, their mean age being </w:t>
      </w:r>
      <w:r w:rsidRPr="0046210B">
        <w:rPr>
          <w:sz w:val="28"/>
          <w:szCs w:val="28"/>
          <w:lang w:val="en-US"/>
        </w:rPr>
        <w:t>47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6±9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yr.</w:t>
      </w:r>
      <w:r w:rsidRPr="004621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In all cases the MVD correction was made using the CPB</w:t>
      </w:r>
      <w:r w:rsidRPr="0046210B">
        <w:rPr>
          <w:sz w:val="28"/>
          <w:szCs w:val="28"/>
          <w:lang w:val="en-US"/>
        </w:rPr>
        <w:t xml:space="preserve">. </w:t>
      </w:r>
    </w:p>
    <w:p w:rsidR="00DD4EE4" w:rsidRPr="0046210B" w:rsidRDefault="00DD4EE4" w:rsidP="00DD4EE4">
      <w:pPr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Operations concerning isolated mitral valve prosthetics without any accompanying procedure are the most common ones; they were carried out in </w:t>
      </w:r>
      <w:r w:rsidRPr="0046210B">
        <w:rPr>
          <w:color w:val="000000"/>
          <w:sz w:val="28"/>
          <w:szCs w:val="28"/>
          <w:lang w:val="en-US"/>
        </w:rPr>
        <w:t>138 (60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>8%)</w:t>
      </w:r>
      <w:r>
        <w:rPr>
          <w:color w:val="000000"/>
          <w:sz w:val="28"/>
          <w:szCs w:val="28"/>
          <w:lang w:val="en-US"/>
        </w:rPr>
        <w:t xml:space="preserve"> patients of the main group as well as in</w:t>
      </w:r>
      <w:r w:rsidRPr="0046210B">
        <w:rPr>
          <w:color w:val="000000"/>
          <w:sz w:val="28"/>
          <w:szCs w:val="28"/>
          <w:lang w:val="en-US"/>
        </w:rPr>
        <w:t xml:space="preserve"> 71 (78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 xml:space="preserve">9 %) </w:t>
      </w:r>
      <w:r>
        <w:rPr>
          <w:color w:val="000000"/>
          <w:sz w:val="28"/>
          <w:szCs w:val="28"/>
          <w:lang w:val="en-US"/>
        </w:rPr>
        <w:t>patients of the control group</w:t>
      </w:r>
      <w:r w:rsidRPr="0046210B">
        <w:rPr>
          <w:color w:val="000000"/>
          <w:sz w:val="28"/>
          <w:szCs w:val="28"/>
          <w:lang w:val="en-US"/>
        </w:rPr>
        <w:t>.</w:t>
      </w:r>
    </w:p>
    <w:p w:rsidR="00DD4EE4" w:rsidRPr="0046210B" w:rsidRDefault="00DD4EE4" w:rsidP="00DD4EE4">
      <w:pPr>
        <w:spacing w:line="360" w:lineRule="auto"/>
        <w:ind w:firstLine="709"/>
        <w:jc w:val="both"/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  <w:lang w:val="en-US"/>
        </w:rPr>
        <w:t>During the treatment of the main group patients the authors have elaborated the approaches for blood-reserving technologies</w:t>
      </w:r>
      <w:r w:rsidRPr="0046210B">
        <w:rPr>
          <w:snapToGrid w:val="0"/>
          <w:sz w:val="28"/>
          <w:szCs w:val="28"/>
          <w:lang w:val="en-US"/>
        </w:rPr>
        <w:t xml:space="preserve">. </w:t>
      </w:r>
      <w:r>
        <w:rPr>
          <w:snapToGrid w:val="0"/>
          <w:sz w:val="28"/>
          <w:szCs w:val="28"/>
          <w:lang w:val="en-US"/>
        </w:rPr>
        <w:t xml:space="preserve"> Aiming to exclude any complication at any operation stage the authors carried continuously out a careful monitoring of all parameters – hemodynamics, acid-base balance (ABB) etc</w:t>
      </w:r>
      <w:r w:rsidRPr="0046210B">
        <w:rPr>
          <w:snapToGrid w:val="0"/>
          <w:sz w:val="28"/>
          <w:szCs w:val="28"/>
          <w:lang w:val="en-US"/>
        </w:rPr>
        <w:t xml:space="preserve">. </w:t>
      </w:r>
      <w:r>
        <w:rPr>
          <w:snapToGrid w:val="0"/>
          <w:sz w:val="28"/>
          <w:szCs w:val="28"/>
          <w:lang w:val="en-US"/>
        </w:rPr>
        <w:t>Following three years of investigations (2000-2003) we have become able to understand completely the situation and to obtain methodological base for safe surgical interventions</w:t>
      </w:r>
      <w:r w:rsidRPr="0046210B">
        <w:rPr>
          <w:snapToGrid w:val="0"/>
          <w:sz w:val="28"/>
          <w:szCs w:val="28"/>
          <w:lang w:val="en-US"/>
        </w:rPr>
        <w:t>.</w:t>
      </w:r>
    </w:p>
    <w:p w:rsidR="00DD4EE4" w:rsidRPr="0046210B" w:rsidRDefault="00DD4EE4" w:rsidP="00DD4EE4">
      <w:pPr>
        <w:spacing w:line="360" w:lineRule="auto"/>
        <w:ind w:firstLine="709"/>
        <w:jc w:val="both"/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  <w:lang w:val="en-US"/>
        </w:rPr>
        <w:t>An important component of the main group treatment is the diuresis stimulation which started usually at the beginning of operation; the patients received furosemide (</w:t>
      </w:r>
      <w:r w:rsidRPr="0046210B">
        <w:rPr>
          <w:snapToGrid w:val="0"/>
          <w:sz w:val="28"/>
          <w:szCs w:val="28"/>
          <w:lang w:val="en-US"/>
        </w:rPr>
        <w:t xml:space="preserve">1 </w:t>
      </w:r>
      <w:r>
        <w:rPr>
          <w:snapToGrid w:val="0"/>
          <w:sz w:val="28"/>
          <w:szCs w:val="28"/>
          <w:lang w:val="en-US"/>
        </w:rPr>
        <w:t>mg</w:t>
      </w:r>
      <w:r w:rsidRPr="0046210B">
        <w:rPr>
          <w:snapToGrid w:val="0"/>
          <w:sz w:val="28"/>
          <w:szCs w:val="28"/>
          <w:lang w:val="en-US"/>
        </w:rPr>
        <w:t>/</w:t>
      </w:r>
      <w:r>
        <w:rPr>
          <w:snapToGrid w:val="0"/>
          <w:sz w:val="28"/>
          <w:szCs w:val="28"/>
          <w:lang w:val="en-US"/>
        </w:rPr>
        <w:t>kg) and mannitol</w:t>
      </w:r>
      <w:r>
        <w:rPr>
          <w:rStyle w:val="af2"/>
          <w:snapToGrid w:val="0"/>
          <w:sz w:val="28"/>
          <w:szCs w:val="28"/>
          <w:lang w:val="en-US"/>
        </w:rPr>
        <w:footnoteReference w:id="7"/>
      </w:r>
      <w:r>
        <w:rPr>
          <w:snapToGrid w:val="0"/>
          <w:sz w:val="28"/>
          <w:szCs w:val="28"/>
          <w:lang w:val="en-US"/>
        </w:rPr>
        <w:t xml:space="preserve"> </w:t>
      </w:r>
      <w:r w:rsidRPr="0046210B">
        <w:rPr>
          <w:snapToGrid w:val="0"/>
          <w:sz w:val="28"/>
          <w:szCs w:val="28"/>
          <w:lang w:val="en-US"/>
        </w:rPr>
        <w:t xml:space="preserve"> </w:t>
      </w:r>
      <w:r>
        <w:rPr>
          <w:snapToGrid w:val="0"/>
          <w:sz w:val="28"/>
          <w:szCs w:val="28"/>
          <w:lang w:val="en-US"/>
        </w:rPr>
        <w:t>(</w:t>
      </w:r>
      <w:r w:rsidRPr="0046210B">
        <w:rPr>
          <w:snapToGrid w:val="0"/>
          <w:sz w:val="28"/>
          <w:szCs w:val="28"/>
          <w:lang w:val="en-US"/>
        </w:rPr>
        <w:t>0</w:t>
      </w:r>
      <w:r>
        <w:rPr>
          <w:snapToGrid w:val="0"/>
          <w:sz w:val="28"/>
          <w:szCs w:val="28"/>
          <w:lang w:val="en-US"/>
        </w:rPr>
        <w:t>.</w:t>
      </w:r>
      <w:r w:rsidRPr="0046210B">
        <w:rPr>
          <w:snapToGrid w:val="0"/>
          <w:sz w:val="28"/>
          <w:szCs w:val="28"/>
          <w:lang w:val="en-US"/>
        </w:rPr>
        <w:t>15–0</w:t>
      </w:r>
      <w:r>
        <w:rPr>
          <w:snapToGrid w:val="0"/>
          <w:sz w:val="28"/>
          <w:szCs w:val="28"/>
          <w:lang w:val="en-US"/>
        </w:rPr>
        <w:t>.</w:t>
      </w:r>
      <w:r w:rsidRPr="0046210B">
        <w:rPr>
          <w:snapToGrid w:val="0"/>
          <w:sz w:val="28"/>
          <w:szCs w:val="28"/>
          <w:lang w:val="en-US"/>
        </w:rPr>
        <w:t>3 </w:t>
      </w:r>
      <w:r>
        <w:rPr>
          <w:snapToGrid w:val="0"/>
          <w:sz w:val="28"/>
          <w:szCs w:val="28"/>
          <w:lang w:val="en-US"/>
        </w:rPr>
        <w:t>g</w:t>
      </w:r>
      <w:r w:rsidRPr="0046210B">
        <w:rPr>
          <w:snapToGrid w:val="0"/>
          <w:sz w:val="28"/>
          <w:szCs w:val="28"/>
          <w:lang w:val="en-US"/>
        </w:rPr>
        <w:t>/</w:t>
      </w:r>
      <w:r>
        <w:rPr>
          <w:snapToGrid w:val="0"/>
          <w:sz w:val="28"/>
          <w:szCs w:val="28"/>
          <w:lang w:val="en-US"/>
        </w:rPr>
        <w:t>kg)</w:t>
      </w:r>
      <w:r w:rsidRPr="0046210B">
        <w:rPr>
          <w:snapToGrid w:val="0"/>
          <w:sz w:val="28"/>
          <w:szCs w:val="28"/>
          <w:lang w:val="en-US"/>
        </w:rPr>
        <w:t xml:space="preserve">. </w:t>
      </w:r>
      <w:r>
        <w:rPr>
          <w:snapToGrid w:val="0"/>
          <w:sz w:val="28"/>
          <w:szCs w:val="28"/>
          <w:lang w:val="en-US"/>
        </w:rPr>
        <w:t>The intravenous introduction of these drugs was carried out during 30 min in initial narcosis mixture. If the hematocrit value was above</w:t>
      </w:r>
      <w:r w:rsidRPr="0046210B">
        <w:rPr>
          <w:snapToGrid w:val="0"/>
          <w:sz w:val="28"/>
          <w:szCs w:val="28"/>
          <w:lang w:val="en-US"/>
        </w:rPr>
        <w:t xml:space="preserve"> 0</w:t>
      </w:r>
      <w:r>
        <w:rPr>
          <w:snapToGrid w:val="0"/>
          <w:sz w:val="28"/>
          <w:szCs w:val="28"/>
          <w:lang w:val="en-US"/>
        </w:rPr>
        <w:t>.</w:t>
      </w:r>
      <w:r w:rsidRPr="0046210B">
        <w:rPr>
          <w:snapToGrid w:val="0"/>
          <w:sz w:val="28"/>
          <w:szCs w:val="28"/>
          <w:lang w:val="en-US"/>
        </w:rPr>
        <w:t xml:space="preserve">4, </w:t>
      </w:r>
      <w:r>
        <w:rPr>
          <w:snapToGrid w:val="0"/>
          <w:sz w:val="28"/>
          <w:szCs w:val="28"/>
          <w:lang w:val="en-US"/>
        </w:rPr>
        <w:t xml:space="preserve">it was possible to reserve the blood with citrate before the CPB beginning </w:t>
      </w:r>
      <w:r w:rsidRPr="0046210B">
        <w:rPr>
          <w:snapToGrid w:val="0"/>
          <w:sz w:val="28"/>
          <w:szCs w:val="28"/>
          <w:lang w:val="en-US"/>
        </w:rPr>
        <w:t>(</w:t>
      </w:r>
      <w:r>
        <w:rPr>
          <w:snapToGrid w:val="0"/>
          <w:sz w:val="28"/>
          <w:szCs w:val="28"/>
          <w:lang w:val="en-US"/>
        </w:rPr>
        <w:t>A-variant of the blood reserving</w:t>
      </w:r>
      <w:r w:rsidRPr="0046210B">
        <w:rPr>
          <w:sz w:val="28"/>
          <w:szCs w:val="28"/>
          <w:lang w:val="en-US"/>
        </w:rPr>
        <w:t>)</w:t>
      </w:r>
      <w:r w:rsidRPr="0046210B">
        <w:rPr>
          <w:snapToGrid w:val="0"/>
          <w:sz w:val="28"/>
          <w:szCs w:val="28"/>
          <w:lang w:val="en-US"/>
        </w:rPr>
        <w:t xml:space="preserve">. </w:t>
      </w:r>
    </w:p>
    <w:p w:rsidR="00DD4EE4" w:rsidRPr="0046210B" w:rsidRDefault="00DD4EE4" w:rsidP="00DD4EE4">
      <w:pPr>
        <w:spacing w:line="360" w:lineRule="auto"/>
        <w:ind w:firstLine="709"/>
        <w:jc w:val="both"/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  <w:lang w:val="en-US"/>
        </w:rPr>
        <w:lastRenderedPageBreak/>
        <w:t>The higher is the initial hematocrit level, the larger blood volume can be reserved</w:t>
      </w:r>
      <w:r w:rsidRPr="0046210B">
        <w:rPr>
          <w:snapToGrid w:val="0"/>
          <w:sz w:val="28"/>
          <w:szCs w:val="28"/>
          <w:lang w:val="en-US"/>
        </w:rPr>
        <w:t xml:space="preserve">. </w:t>
      </w:r>
      <w:r>
        <w:rPr>
          <w:snapToGrid w:val="0"/>
          <w:sz w:val="28"/>
          <w:szCs w:val="28"/>
          <w:lang w:val="en-US"/>
        </w:rPr>
        <w:t xml:space="preserve">The value of such autologous blood is due to its ability to keep all its properties during about 2 hours </w:t>
      </w:r>
      <w:r w:rsidRPr="0046210B">
        <w:rPr>
          <w:snapToGrid w:val="0"/>
          <w:sz w:val="28"/>
          <w:szCs w:val="28"/>
          <w:lang w:val="en-US"/>
        </w:rPr>
        <w:t>(</w:t>
      </w:r>
      <w:r>
        <w:rPr>
          <w:snapToGrid w:val="0"/>
          <w:sz w:val="28"/>
          <w:szCs w:val="28"/>
          <w:lang w:val="en-US"/>
        </w:rPr>
        <w:t>time of the CPB duration</w:t>
      </w:r>
      <w:r w:rsidRPr="0046210B">
        <w:rPr>
          <w:snapToGrid w:val="0"/>
          <w:sz w:val="28"/>
          <w:szCs w:val="28"/>
          <w:lang w:val="en-US"/>
        </w:rPr>
        <w:t xml:space="preserve">), </w:t>
      </w:r>
      <w:r>
        <w:rPr>
          <w:snapToGrid w:val="0"/>
          <w:sz w:val="28"/>
          <w:szCs w:val="28"/>
          <w:lang w:val="en-US"/>
        </w:rPr>
        <w:t>absence of heparin, and ability to rapid homeostasis restoration following protamine sulfate introduction</w:t>
      </w:r>
      <w:r w:rsidRPr="0046210B">
        <w:rPr>
          <w:snapToGrid w:val="0"/>
          <w:sz w:val="28"/>
          <w:szCs w:val="28"/>
          <w:lang w:val="en-US"/>
        </w:rPr>
        <w:t xml:space="preserve">. </w:t>
      </w:r>
      <w:r>
        <w:rPr>
          <w:snapToGrid w:val="0"/>
          <w:sz w:val="28"/>
          <w:szCs w:val="28"/>
          <w:lang w:val="en-US"/>
        </w:rPr>
        <w:t>The autologous blood reservation according to the A-variant is a stage-by-stage patient’s blood collection into vials with a citrate preservative from the moment of incision up to the heparin introduction</w:t>
      </w:r>
      <w:r w:rsidRPr="0046210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The blood collection was mostly carried out through </w:t>
      </w:r>
      <w:r w:rsidRPr="00FD1387">
        <w:rPr>
          <w:i/>
          <w:iCs/>
          <w:sz w:val="28"/>
          <w:szCs w:val="28"/>
          <w:lang w:val="en-US"/>
        </w:rPr>
        <w:t xml:space="preserve">arteria </w:t>
      </w:r>
      <w:proofErr w:type="spellStart"/>
      <w:r w:rsidRPr="00FD1387">
        <w:rPr>
          <w:i/>
          <w:iCs/>
          <w:sz w:val="28"/>
          <w:szCs w:val="28"/>
          <w:lang w:val="en-US"/>
        </w:rPr>
        <w:t>radialis</w:t>
      </w:r>
      <w:proofErr w:type="spellEnd"/>
      <w:r>
        <w:rPr>
          <w:sz w:val="28"/>
          <w:szCs w:val="28"/>
          <w:lang w:val="en-US"/>
        </w:rPr>
        <w:t xml:space="preserve"> or sometimes through the central venous catheter during about 30 min under the strict arterial pressure (AP) control</w:t>
      </w:r>
      <w:r w:rsidRPr="0046210B">
        <w:rPr>
          <w:snapToGrid w:val="0"/>
          <w:sz w:val="28"/>
          <w:szCs w:val="28"/>
          <w:lang w:val="en-US"/>
        </w:rPr>
        <w:t xml:space="preserve"> </w:t>
      </w:r>
      <w:r>
        <w:rPr>
          <w:snapToGrid w:val="0"/>
          <w:sz w:val="28"/>
          <w:szCs w:val="28"/>
          <w:lang w:val="en-US"/>
        </w:rPr>
        <w:t>(Fig.</w:t>
      </w:r>
      <w:r w:rsidRPr="0046210B">
        <w:rPr>
          <w:snapToGrid w:val="0"/>
          <w:sz w:val="28"/>
          <w:szCs w:val="28"/>
          <w:lang w:val="en-US"/>
        </w:rPr>
        <w:t xml:space="preserve">1). </w:t>
      </w:r>
    </w:p>
    <w:p w:rsidR="00DD4EE4" w:rsidRPr="0046210B" w:rsidRDefault="00DD4EE4" w:rsidP="00DD4EE4">
      <w:pPr>
        <w:spacing w:line="360" w:lineRule="auto"/>
        <w:ind w:firstLine="709"/>
        <w:jc w:val="both"/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  <w:lang w:val="en-US"/>
        </w:rPr>
        <w:t xml:space="preserve">Thus, we were able to reserve the citrate blood (400 ml) for </w:t>
      </w:r>
      <w:r w:rsidRPr="0046210B">
        <w:rPr>
          <w:snapToGrid w:val="0"/>
          <w:sz w:val="28"/>
          <w:szCs w:val="28"/>
          <w:lang w:val="en-US"/>
        </w:rPr>
        <w:t>104</w:t>
      </w:r>
      <w:r>
        <w:rPr>
          <w:snapToGrid w:val="0"/>
          <w:sz w:val="28"/>
          <w:szCs w:val="28"/>
          <w:lang w:val="en-US"/>
        </w:rPr>
        <w:t xml:space="preserve"> patients</w:t>
      </w:r>
      <w:r w:rsidRPr="0046210B">
        <w:rPr>
          <w:snapToGrid w:val="0"/>
          <w:sz w:val="28"/>
          <w:szCs w:val="28"/>
          <w:lang w:val="en-US"/>
        </w:rPr>
        <w:t xml:space="preserve"> </w:t>
      </w:r>
      <w:r w:rsidRPr="0046210B">
        <w:rPr>
          <w:sz w:val="28"/>
          <w:szCs w:val="28"/>
          <w:lang w:val="en-US"/>
        </w:rPr>
        <w:t>(46%)</w:t>
      </w:r>
      <w:r>
        <w:rPr>
          <w:sz w:val="28"/>
          <w:szCs w:val="28"/>
          <w:lang w:val="en-US"/>
        </w:rPr>
        <w:t xml:space="preserve"> before the CPB beginning, the blood volume was compensated by 10% </w:t>
      </w:r>
      <w:proofErr w:type="spellStart"/>
      <w:r>
        <w:rPr>
          <w:sz w:val="28"/>
          <w:szCs w:val="28"/>
          <w:lang w:val="en-US"/>
        </w:rPr>
        <w:t>refortan</w:t>
      </w:r>
      <w:proofErr w:type="spellEnd"/>
      <w:r>
        <w:rPr>
          <w:sz w:val="28"/>
          <w:szCs w:val="28"/>
          <w:lang w:val="en-US"/>
        </w:rPr>
        <w:t xml:space="preserve"> solution, the </w:t>
      </w:r>
      <w:proofErr w:type="spellStart"/>
      <w:r>
        <w:rPr>
          <w:sz w:val="28"/>
          <w:szCs w:val="28"/>
          <w:lang w:val="en-US"/>
        </w:rPr>
        <w:t>refortan</w:t>
      </w:r>
      <w:proofErr w:type="gramStart"/>
      <w:r>
        <w:rPr>
          <w:sz w:val="28"/>
          <w:szCs w:val="28"/>
          <w:lang w:val="en-US"/>
        </w:rPr>
        <w:t>:blood</w:t>
      </w:r>
      <w:proofErr w:type="spellEnd"/>
      <w:proofErr w:type="gramEnd"/>
      <w:r>
        <w:rPr>
          <w:sz w:val="28"/>
          <w:szCs w:val="28"/>
          <w:lang w:val="en-US"/>
        </w:rPr>
        <w:t xml:space="preserve"> ratio being  </w:t>
      </w:r>
      <w:r w:rsidRPr="0046210B">
        <w:rPr>
          <w:snapToGrid w:val="0"/>
          <w:sz w:val="28"/>
          <w:szCs w:val="28"/>
          <w:lang w:val="en-US"/>
        </w:rPr>
        <w:t>1:1 (</w:t>
      </w:r>
      <w:r>
        <w:rPr>
          <w:snapToGrid w:val="0"/>
          <w:sz w:val="28"/>
          <w:szCs w:val="28"/>
          <w:lang w:val="en-US"/>
        </w:rPr>
        <w:t>A-variant of blood reserving</w:t>
      </w:r>
      <w:r w:rsidRPr="0046210B">
        <w:rPr>
          <w:sz w:val="28"/>
          <w:szCs w:val="28"/>
          <w:lang w:val="en-US"/>
        </w:rPr>
        <w:t>)</w:t>
      </w:r>
      <w:r w:rsidRPr="0046210B">
        <w:rPr>
          <w:snapToGrid w:val="0"/>
          <w:sz w:val="28"/>
          <w:szCs w:val="28"/>
          <w:lang w:val="en-US"/>
        </w:rPr>
        <w:t xml:space="preserve">. </w:t>
      </w:r>
      <w:r>
        <w:rPr>
          <w:snapToGrid w:val="0"/>
          <w:sz w:val="28"/>
          <w:szCs w:val="28"/>
          <w:lang w:val="en-US"/>
        </w:rPr>
        <w:t>The quantity of autologous blood reserved at the pre-infusion stage was</w:t>
      </w:r>
      <w:r w:rsidRPr="0046210B">
        <w:rPr>
          <w:sz w:val="28"/>
          <w:szCs w:val="28"/>
          <w:lang w:val="en-US"/>
        </w:rPr>
        <w:t xml:space="preserve"> 495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2±129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9 </w:t>
      </w:r>
      <w:r>
        <w:rPr>
          <w:sz w:val="28"/>
          <w:szCs w:val="28"/>
          <w:lang w:val="en-US"/>
        </w:rPr>
        <w:t>ml</w:t>
      </w:r>
      <w:r w:rsidRPr="0046210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i.e. </w:t>
      </w:r>
      <w:r w:rsidRPr="0046210B">
        <w:rPr>
          <w:sz w:val="28"/>
          <w:szCs w:val="28"/>
          <w:lang w:val="en-US"/>
        </w:rPr>
        <w:t>10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4±2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8% </w:t>
      </w:r>
      <w:r>
        <w:rPr>
          <w:sz w:val="28"/>
          <w:szCs w:val="28"/>
          <w:lang w:val="en-US"/>
        </w:rPr>
        <w:t>of the circulating blood volume</w:t>
      </w:r>
      <w:r w:rsidRPr="0046210B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CBV</w:t>
      </w:r>
      <w:r w:rsidRPr="0046210B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  <w:lang w:val="en-US"/>
        </w:rPr>
        <w:t xml:space="preserve">Following the autologous blood </w:t>
      </w:r>
      <w:proofErr w:type="spellStart"/>
      <w:r>
        <w:rPr>
          <w:sz w:val="28"/>
          <w:szCs w:val="28"/>
          <w:lang w:val="en-US"/>
        </w:rPr>
        <w:t>exfusion</w:t>
      </w:r>
      <w:proofErr w:type="spellEnd"/>
      <w:r>
        <w:rPr>
          <w:sz w:val="28"/>
          <w:szCs w:val="28"/>
          <w:lang w:val="en-US"/>
        </w:rPr>
        <w:t xml:space="preserve"> the hemoglobin level decreased from </w:t>
      </w:r>
      <w:r w:rsidRPr="0046210B">
        <w:rPr>
          <w:sz w:val="28"/>
          <w:szCs w:val="28"/>
          <w:lang w:val="en-US"/>
        </w:rPr>
        <w:t>134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5±14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46210B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l up to</w:t>
      </w:r>
      <w:r w:rsidRPr="0046210B">
        <w:rPr>
          <w:sz w:val="28"/>
          <w:szCs w:val="28"/>
          <w:lang w:val="en-US"/>
        </w:rPr>
        <w:t xml:space="preserve"> 130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4±16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 xml:space="preserve">g/l, the hematocrit index and the protein content fell down from </w:t>
      </w:r>
      <w:r w:rsidRPr="0046210B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42±0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02 </w:t>
      </w:r>
      <w:r>
        <w:rPr>
          <w:sz w:val="28"/>
          <w:szCs w:val="28"/>
          <w:lang w:val="en-US"/>
        </w:rPr>
        <w:t xml:space="preserve">up to </w:t>
      </w:r>
      <w:r w:rsidRPr="0046210B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39±0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05</w:t>
      </w:r>
      <w:r>
        <w:rPr>
          <w:sz w:val="28"/>
          <w:szCs w:val="28"/>
          <w:lang w:val="en-US"/>
        </w:rPr>
        <w:t xml:space="preserve"> and from </w:t>
      </w:r>
      <w:r w:rsidRPr="0046210B">
        <w:rPr>
          <w:sz w:val="28"/>
          <w:szCs w:val="28"/>
          <w:lang w:val="en-US"/>
        </w:rPr>
        <w:t>72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7±6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 xml:space="preserve">g/l up to </w:t>
      </w:r>
      <w:r w:rsidRPr="0046210B">
        <w:rPr>
          <w:sz w:val="28"/>
          <w:szCs w:val="28"/>
          <w:lang w:val="en-US"/>
        </w:rPr>
        <w:t>56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2±7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g/l, respectively; such decrease is safe: it does not significantly lower the blood oxygen capacity</w:t>
      </w:r>
      <w:r w:rsidRPr="0046210B">
        <w:rPr>
          <w:sz w:val="28"/>
          <w:szCs w:val="28"/>
          <w:lang w:val="en-US"/>
        </w:rPr>
        <w:t>.</w:t>
      </w:r>
    </w:p>
    <w:p w:rsidR="00DD4EE4" w:rsidRPr="003C206A" w:rsidRDefault="00DD4EE4" w:rsidP="00DD4EE4">
      <w:pPr>
        <w:pStyle w:val="ab"/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val="en-US" w:eastAsia="en-US"/>
        </w:rPr>
      </w:pPr>
      <w:r>
        <w:rPr>
          <w:color w:val="000000"/>
          <w:sz w:val="28"/>
          <w:szCs w:val="28"/>
          <w:lang w:val="en-US" w:eastAsia="en-US"/>
        </w:rPr>
        <w:t xml:space="preserve">We have carried out comparative investigations of autologous blood state following its </w:t>
      </w:r>
      <w:proofErr w:type="spellStart"/>
      <w:r>
        <w:rPr>
          <w:color w:val="000000"/>
          <w:sz w:val="28"/>
          <w:szCs w:val="28"/>
          <w:lang w:val="en-US" w:eastAsia="en-US"/>
        </w:rPr>
        <w:t>exfusion</w:t>
      </w:r>
      <w:proofErr w:type="spellEnd"/>
      <w:r>
        <w:rPr>
          <w:color w:val="000000"/>
          <w:sz w:val="28"/>
          <w:szCs w:val="28"/>
          <w:lang w:val="en-US" w:eastAsia="en-US"/>
        </w:rPr>
        <w:t xml:space="preserve"> in the preservative </w:t>
      </w:r>
      <w:proofErr w:type="spellStart"/>
      <w:r>
        <w:rPr>
          <w:color w:val="000000"/>
          <w:sz w:val="28"/>
          <w:szCs w:val="28"/>
          <w:lang w:val="en-US" w:eastAsia="en-US"/>
        </w:rPr>
        <w:t>glugycir</w:t>
      </w:r>
      <w:proofErr w:type="spellEnd"/>
      <w:r w:rsidRPr="0046210B">
        <w:rPr>
          <w:color w:val="000000"/>
          <w:sz w:val="28"/>
          <w:szCs w:val="28"/>
          <w:lang w:val="en-US" w:eastAsia="en-US"/>
        </w:rPr>
        <w:t xml:space="preserve"> (</w:t>
      </w:r>
      <w:r>
        <w:rPr>
          <w:color w:val="000000"/>
          <w:sz w:val="28"/>
          <w:szCs w:val="28"/>
          <w:lang w:val="en-US" w:eastAsia="en-US"/>
        </w:rPr>
        <w:t>in the main group</w:t>
      </w:r>
      <w:r w:rsidRPr="0046210B">
        <w:rPr>
          <w:color w:val="000000"/>
          <w:sz w:val="28"/>
          <w:szCs w:val="28"/>
          <w:lang w:val="en-US" w:eastAsia="en-US"/>
        </w:rPr>
        <w:t xml:space="preserve">) </w:t>
      </w:r>
      <w:r>
        <w:rPr>
          <w:color w:val="000000"/>
          <w:sz w:val="28"/>
          <w:szCs w:val="28"/>
          <w:lang w:val="en-US" w:eastAsia="en-US"/>
        </w:rPr>
        <w:t xml:space="preserve">and the state of donor EM used in the control group before it infusion to patients (see the Table </w:t>
      </w:r>
      <w:r w:rsidRPr="0046210B">
        <w:rPr>
          <w:color w:val="000000"/>
          <w:sz w:val="28"/>
          <w:szCs w:val="28"/>
          <w:lang w:val="en-US" w:eastAsia="en-US"/>
        </w:rPr>
        <w:t>1</w:t>
      </w:r>
      <w:r>
        <w:rPr>
          <w:color w:val="000000"/>
          <w:sz w:val="28"/>
          <w:szCs w:val="28"/>
          <w:lang w:val="en-US" w:eastAsia="en-US"/>
        </w:rPr>
        <w:t>).</w:t>
      </w:r>
    </w:p>
    <w:p w:rsidR="00DD4EE4" w:rsidRDefault="00DD4EE4" w:rsidP="00DD4EE4">
      <w:pPr>
        <w:pStyle w:val="ab"/>
        <w:suppressAutoHyphens/>
        <w:spacing w:line="360" w:lineRule="auto"/>
        <w:ind w:firstLine="567"/>
        <w:jc w:val="right"/>
        <w:rPr>
          <w:color w:val="000000"/>
          <w:sz w:val="28"/>
          <w:szCs w:val="28"/>
          <w:lang w:val="en-US" w:eastAsia="en-US"/>
        </w:rPr>
      </w:pPr>
    </w:p>
    <w:p w:rsidR="00DD4EE4" w:rsidRDefault="00DD4EE4" w:rsidP="00DD4EE4">
      <w:pPr>
        <w:pStyle w:val="ab"/>
        <w:suppressAutoHyphens/>
        <w:spacing w:line="360" w:lineRule="auto"/>
        <w:ind w:firstLine="567"/>
        <w:jc w:val="right"/>
        <w:rPr>
          <w:color w:val="000000"/>
          <w:sz w:val="28"/>
          <w:szCs w:val="28"/>
          <w:lang w:val="en-US" w:eastAsia="en-US"/>
        </w:rPr>
      </w:pPr>
    </w:p>
    <w:p w:rsidR="00DD4EE4" w:rsidRDefault="00DD4EE4" w:rsidP="00DD4EE4">
      <w:pPr>
        <w:pStyle w:val="ab"/>
        <w:suppressAutoHyphens/>
        <w:spacing w:line="360" w:lineRule="auto"/>
        <w:ind w:firstLine="567"/>
        <w:jc w:val="right"/>
        <w:rPr>
          <w:color w:val="000000"/>
          <w:sz w:val="28"/>
          <w:szCs w:val="28"/>
          <w:lang w:val="en-US" w:eastAsia="en-US"/>
        </w:rPr>
      </w:pPr>
    </w:p>
    <w:p w:rsidR="00DD4EE4" w:rsidRPr="0046210B" w:rsidRDefault="00DD4EE4" w:rsidP="00DD4EE4">
      <w:pPr>
        <w:pStyle w:val="ab"/>
        <w:suppressAutoHyphens/>
        <w:spacing w:line="360" w:lineRule="auto"/>
        <w:ind w:firstLine="567"/>
        <w:jc w:val="right"/>
        <w:rPr>
          <w:color w:val="000000"/>
          <w:sz w:val="28"/>
          <w:szCs w:val="28"/>
          <w:lang w:val="en-US" w:eastAsia="en-US"/>
        </w:rPr>
      </w:pPr>
      <w:r>
        <w:rPr>
          <w:color w:val="000000"/>
          <w:sz w:val="28"/>
          <w:szCs w:val="28"/>
          <w:lang w:val="en-US" w:eastAsia="en-US"/>
        </w:rPr>
        <w:t>Table</w:t>
      </w:r>
      <w:r w:rsidRPr="0046210B">
        <w:rPr>
          <w:color w:val="000000"/>
          <w:sz w:val="28"/>
          <w:szCs w:val="28"/>
          <w:lang w:val="en-US" w:eastAsia="en-US"/>
        </w:rPr>
        <w:t xml:space="preserve"> 1</w:t>
      </w:r>
    </w:p>
    <w:p w:rsidR="00DD4EE4" w:rsidRPr="0046210B" w:rsidRDefault="00DD4EE4" w:rsidP="00DD4EE4">
      <w:pPr>
        <w:pStyle w:val="ab"/>
        <w:suppressAutoHyphens/>
        <w:spacing w:line="360" w:lineRule="auto"/>
        <w:ind w:firstLine="567"/>
        <w:jc w:val="center"/>
        <w:rPr>
          <w:color w:val="000000"/>
          <w:sz w:val="28"/>
          <w:szCs w:val="28"/>
          <w:lang w:val="en-US" w:eastAsia="en-US"/>
        </w:rPr>
      </w:pPr>
      <w:r>
        <w:rPr>
          <w:color w:val="000000"/>
          <w:sz w:val="28"/>
          <w:szCs w:val="28"/>
          <w:lang w:val="en-US" w:eastAsia="en-US"/>
        </w:rPr>
        <w:t xml:space="preserve">Acid-base equilibrium of autologous blood and </w:t>
      </w:r>
      <w:proofErr w:type="gramStart"/>
      <w:r>
        <w:rPr>
          <w:color w:val="000000"/>
          <w:sz w:val="28"/>
          <w:szCs w:val="28"/>
          <w:lang w:val="en-US" w:eastAsia="en-US"/>
        </w:rPr>
        <w:t xml:space="preserve">donor  </w:t>
      </w:r>
      <w:proofErr w:type="spellStart"/>
      <w:r>
        <w:rPr>
          <w:color w:val="000000"/>
          <w:sz w:val="28"/>
          <w:szCs w:val="28"/>
          <w:lang w:val="en-US" w:eastAsia="en-US"/>
        </w:rPr>
        <w:t>erythrocytic</w:t>
      </w:r>
      <w:proofErr w:type="spellEnd"/>
      <w:proofErr w:type="gramEnd"/>
      <w:r>
        <w:rPr>
          <w:color w:val="000000"/>
          <w:sz w:val="28"/>
          <w:szCs w:val="28"/>
          <w:lang w:val="en-US" w:eastAsia="en-US"/>
        </w:rPr>
        <w:t xml:space="preserve"> mass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8"/>
        <w:gridCol w:w="3218"/>
        <w:gridCol w:w="2977"/>
        <w:gridCol w:w="1701"/>
      </w:tblGrid>
      <w:tr w:rsidR="00DD4EE4" w:rsidRPr="006B796D" w:rsidTr="00AF273B">
        <w:trPr>
          <w:trHeight w:val="825"/>
          <w:tblHeader/>
        </w:trPr>
        <w:tc>
          <w:tcPr>
            <w:tcW w:w="1568" w:type="dxa"/>
            <w:vMerge w:val="restart"/>
            <w:vAlign w:val="center"/>
          </w:tcPr>
          <w:p w:rsidR="00DD4EE4" w:rsidRPr="00247E6E" w:rsidRDefault="00DD4EE4" w:rsidP="00AF273B">
            <w:pPr>
              <w:pStyle w:val="ab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Index</w:t>
            </w:r>
          </w:p>
        </w:tc>
        <w:tc>
          <w:tcPr>
            <w:tcW w:w="3218" w:type="dxa"/>
            <w:vAlign w:val="center"/>
          </w:tcPr>
          <w:p w:rsidR="00DD4EE4" w:rsidRPr="0046210B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Autologous blood collected using the “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Glugycir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”</w:t>
            </w:r>
            <w:r w:rsidRPr="0046210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247E6E">
              <w:rPr>
                <w:color w:val="000000"/>
                <w:sz w:val="28"/>
                <w:szCs w:val="28"/>
                <w:lang w:val="en-US"/>
              </w:rPr>
              <w:t>(n=</w:t>
            </w:r>
            <w:r w:rsidRPr="0046210B">
              <w:rPr>
                <w:color w:val="000000"/>
                <w:sz w:val="28"/>
                <w:szCs w:val="28"/>
                <w:lang w:val="en-US"/>
              </w:rPr>
              <w:t>25</w:t>
            </w:r>
            <w:r w:rsidRPr="00247E6E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onor EM</w:t>
            </w:r>
            <w:r w:rsidRPr="00247E6E">
              <w:rPr>
                <w:color w:val="000000"/>
                <w:sz w:val="28"/>
                <w:szCs w:val="28"/>
              </w:rPr>
              <w:t xml:space="preserve"> (</w:t>
            </w:r>
            <w:r w:rsidRPr="00247E6E">
              <w:rPr>
                <w:color w:val="000000"/>
                <w:sz w:val="28"/>
                <w:szCs w:val="28"/>
                <w:lang w:val="en-US"/>
              </w:rPr>
              <w:t>n</w:t>
            </w:r>
            <w:r w:rsidRPr="00247E6E">
              <w:rPr>
                <w:color w:val="000000"/>
                <w:sz w:val="28"/>
                <w:szCs w:val="28"/>
              </w:rPr>
              <w:t>=21)</w:t>
            </w:r>
          </w:p>
        </w:tc>
        <w:tc>
          <w:tcPr>
            <w:tcW w:w="1701" w:type="dxa"/>
            <w:vMerge w:val="restart"/>
            <w:vAlign w:val="center"/>
          </w:tcPr>
          <w:p w:rsidR="00DD4EE4" w:rsidRPr="00914440" w:rsidRDefault="00DD4EE4" w:rsidP="00AF273B">
            <w:pPr>
              <w:pStyle w:val="ab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247E6E"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 xml:space="preserve"> value</w:t>
            </w:r>
          </w:p>
        </w:tc>
      </w:tr>
      <w:tr w:rsidR="00DD4EE4" w:rsidRPr="006B796D" w:rsidTr="00AF273B">
        <w:trPr>
          <w:tblHeader/>
        </w:trPr>
        <w:tc>
          <w:tcPr>
            <w:tcW w:w="1568" w:type="dxa"/>
            <w:vMerge/>
            <w:vAlign w:val="center"/>
          </w:tcPr>
          <w:p w:rsidR="00DD4EE4" w:rsidRPr="00247E6E" w:rsidRDefault="00DD4EE4" w:rsidP="00AF273B">
            <w:pPr>
              <w:pStyle w:val="ab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Before re-infusion</w:t>
            </w:r>
          </w:p>
        </w:tc>
        <w:tc>
          <w:tcPr>
            <w:tcW w:w="2977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Before re-infusion</w:t>
            </w:r>
            <w:r>
              <w:rPr>
                <w:rStyle w:val="af2"/>
                <w:color w:val="000000"/>
                <w:sz w:val="28"/>
                <w:szCs w:val="28"/>
                <w:lang w:val="en-US"/>
              </w:rPr>
              <w:footnoteReference w:id="8"/>
            </w:r>
          </w:p>
        </w:tc>
        <w:tc>
          <w:tcPr>
            <w:tcW w:w="1701" w:type="dxa"/>
            <w:vMerge/>
            <w:vAlign w:val="center"/>
          </w:tcPr>
          <w:p w:rsidR="00DD4EE4" w:rsidRPr="00247E6E" w:rsidRDefault="00DD4EE4" w:rsidP="00AF273B">
            <w:pPr>
              <w:pStyle w:val="ab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4EE4" w:rsidRPr="006B796D" w:rsidTr="00AF273B">
        <w:tc>
          <w:tcPr>
            <w:tcW w:w="1568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  <w:lang w:val="en-US"/>
              </w:rPr>
              <w:t>pH</w:t>
            </w:r>
          </w:p>
        </w:tc>
        <w:tc>
          <w:tcPr>
            <w:tcW w:w="3218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84±0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89±0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1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052</w:t>
            </w:r>
          </w:p>
        </w:tc>
      </w:tr>
      <w:tr w:rsidR="00DD4EE4" w:rsidRPr="006B796D" w:rsidTr="00AF273B">
        <w:tc>
          <w:tcPr>
            <w:tcW w:w="1568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47E6E">
              <w:rPr>
                <w:color w:val="000000"/>
                <w:sz w:val="28"/>
                <w:szCs w:val="28"/>
                <w:lang w:val="en-US"/>
              </w:rPr>
              <w:t>pCO</w:t>
            </w:r>
            <w:proofErr w:type="spellEnd"/>
            <w:r w:rsidRPr="00247E6E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247E6E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mm Hg</w:t>
            </w:r>
          </w:p>
        </w:tc>
        <w:tc>
          <w:tcPr>
            <w:tcW w:w="3218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8±8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0±19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701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001</w:t>
            </w:r>
          </w:p>
        </w:tc>
      </w:tr>
      <w:tr w:rsidR="00DD4EE4" w:rsidRPr="006B796D" w:rsidTr="00AF273B">
        <w:tc>
          <w:tcPr>
            <w:tcW w:w="1568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47E6E">
              <w:rPr>
                <w:color w:val="000000"/>
                <w:sz w:val="28"/>
                <w:szCs w:val="28"/>
                <w:lang w:val="en-US"/>
              </w:rPr>
              <w:t>pO</w:t>
            </w:r>
            <w:proofErr w:type="spellEnd"/>
            <w:r w:rsidRPr="00247E6E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247E6E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mm</w:t>
            </w:r>
            <w:r w:rsidRPr="00247E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Hg</w:t>
            </w:r>
          </w:p>
        </w:tc>
        <w:tc>
          <w:tcPr>
            <w:tcW w:w="3218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155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9±21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39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86±7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  <w:lang w:val="en-US"/>
              </w:rPr>
              <w:t>&lt;</w:t>
            </w:r>
            <w:r w:rsidRPr="00247E6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001</w:t>
            </w:r>
          </w:p>
        </w:tc>
      </w:tr>
      <w:tr w:rsidR="00DD4EE4" w:rsidRPr="006B796D" w:rsidTr="00AF273B">
        <w:tc>
          <w:tcPr>
            <w:tcW w:w="1568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47E6E">
              <w:rPr>
                <w:color w:val="000000"/>
                <w:sz w:val="28"/>
                <w:szCs w:val="28"/>
                <w:lang w:val="en-US"/>
              </w:rPr>
              <w:t>BE</w:t>
            </w:r>
            <w:r>
              <w:rPr>
                <w:rStyle w:val="af2"/>
                <w:color w:val="000000"/>
                <w:sz w:val="28"/>
                <w:szCs w:val="28"/>
                <w:lang w:val="en-US"/>
              </w:rPr>
              <w:footnoteReference w:id="9"/>
            </w:r>
          </w:p>
        </w:tc>
        <w:tc>
          <w:tcPr>
            <w:tcW w:w="3218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7±3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-22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53±2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701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774</w:t>
            </w:r>
          </w:p>
        </w:tc>
      </w:tr>
      <w:tr w:rsidR="00DD4EE4" w:rsidRPr="006B796D" w:rsidTr="00AF273B">
        <w:tc>
          <w:tcPr>
            <w:tcW w:w="1568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  <w:lang w:val="en-US"/>
              </w:rPr>
              <w:t>SO</w:t>
            </w:r>
            <w:r w:rsidRPr="00247E6E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247E6E">
              <w:rPr>
                <w:color w:val="000000"/>
                <w:sz w:val="28"/>
                <w:szCs w:val="28"/>
              </w:rPr>
              <w:t>,  %</w:t>
            </w:r>
          </w:p>
        </w:tc>
        <w:tc>
          <w:tcPr>
            <w:tcW w:w="3218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96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2±1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0±4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  <w:lang w:val="en-US"/>
              </w:rPr>
              <w:t>&lt;</w:t>
            </w:r>
            <w:r w:rsidRPr="00247E6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001</w:t>
            </w:r>
          </w:p>
        </w:tc>
      </w:tr>
      <w:tr w:rsidR="00DD4EE4" w:rsidRPr="006B796D" w:rsidTr="00AF273B">
        <w:tc>
          <w:tcPr>
            <w:tcW w:w="1568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Storage time</w:t>
            </w:r>
            <w:r w:rsidRPr="00247E6E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min</w:t>
            </w:r>
            <w:r w:rsidRPr="00247E6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18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230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6±54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5005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7±2755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DD4EE4" w:rsidRPr="00247E6E" w:rsidRDefault="00DD4EE4" w:rsidP="00AF273B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  <w:lang w:val="en-US"/>
              </w:rPr>
              <w:t>&lt;</w:t>
            </w:r>
            <w:r w:rsidRPr="00247E6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001</w:t>
            </w:r>
          </w:p>
        </w:tc>
      </w:tr>
    </w:tbl>
    <w:p w:rsidR="00DD4EE4" w:rsidRPr="00247E6E" w:rsidRDefault="00DD4EE4" w:rsidP="00DD4EE4">
      <w:pPr>
        <w:rPr>
          <w:color w:val="000000"/>
          <w:sz w:val="28"/>
          <w:szCs w:val="28"/>
        </w:rPr>
      </w:pPr>
    </w:p>
    <w:p w:rsidR="00DD4EE4" w:rsidRPr="0046210B" w:rsidRDefault="00DD4EE4" w:rsidP="00DD4EE4">
      <w:pPr>
        <w:pStyle w:val="ab"/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The Table 1 data suggest the pH and </w:t>
      </w:r>
      <w:proofErr w:type="gramStart"/>
      <w:r w:rsidRPr="00972A0D">
        <w:rPr>
          <w:b/>
          <w:bCs/>
          <w:color w:val="000000"/>
          <w:sz w:val="28"/>
          <w:szCs w:val="28"/>
          <w:lang w:val="en-US"/>
        </w:rPr>
        <w:t>BE</w:t>
      </w:r>
      <w:proofErr w:type="gramEnd"/>
      <w:r>
        <w:rPr>
          <w:color w:val="000000"/>
          <w:sz w:val="28"/>
          <w:szCs w:val="28"/>
          <w:lang w:val="en-US"/>
        </w:rPr>
        <w:t xml:space="preserve"> indices for autologous blood and donor EM</w:t>
      </w:r>
      <w:r>
        <w:rPr>
          <w:color w:val="000000"/>
          <w:sz w:val="28"/>
          <w:szCs w:val="28"/>
          <w:lang w:val="en-US" w:eastAsia="en-US"/>
        </w:rPr>
        <w:t xml:space="preserve"> do not significantly differ. The indices of the blood oxygenation of the a</w:t>
      </w:r>
      <w:r>
        <w:rPr>
          <w:color w:val="000000"/>
          <w:sz w:val="28"/>
          <w:szCs w:val="28"/>
          <w:lang w:val="en-US"/>
        </w:rPr>
        <w:t>utologous blood collected using the “</w:t>
      </w:r>
      <w:proofErr w:type="spellStart"/>
      <w:r>
        <w:rPr>
          <w:color w:val="000000"/>
          <w:sz w:val="28"/>
          <w:szCs w:val="28"/>
          <w:lang w:val="en-US"/>
        </w:rPr>
        <w:t>Glucygyr</w:t>
      </w:r>
      <w:proofErr w:type="spellEnd"/>
      <w:r>
        <w:rPr>
          <w:color w:val="000000"/>
          <w:sz w:val="28"/>
          <w:szCs w:val="28"/>
          <w:lang w:val="en-US"/>
        </w:rPr>
        <w:t>”</w:t>
      </w:r>
      <w:r w:rsidRPr="0046210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from the </w:t>
      </w:r>
      <w:r w:rsidRPr="005D7E2C">
        <w:rPr>
          <w:i/>
          <w:iCs/>
          <w:color w:val="000000"/>
          <w:sz w:val="28"/>
          <w:szCs w:val="28"/>
          <w:lang w:val="en-US"/>
        </w:rPr>
        <w:t xml:space="preserve">arteria </w:t>
      </w:r>
      <w:proofErr w:type="spellStart"/>
      <w:r w:rsidRPr="005D7E2C">
        <w:rPr>
          <w:i/>
          <w:iCs/>
          <w:color w:val="000000"/>
          <w:sz w:val="28"/>
          <w:szCs w:val="28"/>
          <w:lang w:val="en-US"/>
        </w:rPr>
        <w:t>radialis</w:t>
      </w:r>
      <w:proofErr w:type="spellEnd"/>
      <w:r>
        <w:rPr>
          <w:color w:val="000000"/>
          <w:sz w:val="28"/>
          <w:szCs w:val="28"/>
          <w:lang w:val="en-US"/>
        </w:rPr>
        <w:t xml:space="preserve"> are high enough (</w:t>
      </w:r>
      <w:r w:rsidRPr="00247E6E">
        <w:rPr>
          <w:color w:val="000000"/>
          <w:sz w:val="28"/>
          <w:szCs w:val="28"/>
          <w:lang w:val="en-US"/>
        </w:rPr>
        <w:t>pO</w:t>
      </w:r>
      <w:r w:rsidRPr="0046210B">
        <w:rPr>
          <w:color w:val="000000"/>
          <w:sz w:val="28"/>
          <w:szCs w:val="28"/>
          <w:vertAlign w:val="subscript"/>
          <w:lang w:val="en-US"/>
        </w:rPr>
        <w:t xml:space="preserve">2 </w:t>
      </w:r>
      <w:r w:rsidRPr="002B4B8A">
        <w:rPr>
          <w:color w:val="000000"/>
          <w:sz w:val="28"/>
          <w:szCs w:val="28"/>
          <w:lang w:val="en-US"/>
        </w:rPr>
        <w:t>and</w:t>
      </w:r>
      <w:r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247E6E">
        <w:rPr>
          <w:color w:val="000000"/>
          <w:sz w:val="28"/>
          <w:szCs w:val="28"/>
          <w:lang w:val="en-US"/>
        </w:rPr>
        <w:t>SO</w:t>
      </w:r>
      <w:r w:rsidRPr="0046210B">
        <w:rPr>
          <w:color w:val="000000"/>
          <w:sz w:val="28"/>
          <w:szCs w:val="28"/>
          <w:vertAlign w:val="subscript"/>
          <w:lang w:val="en-US"/>
        </w:rPr>
        <w:t>2</w:t>
      </w:r>
      <w:r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2B4B8A">
        <w:rPr>
          <w:color w:val="000000"/>
          <w:sz w:val="28"/>
          <w:szCs w:val="28"/>
          <w:lang w:val="en-US"/>
        </w:rPr>
        <w:t>values</w:t>
      </w:r>
      <w:r>
        <w:rPr>
          <w:color w:val="000000"/>
          <w:sz w:val="28"/>
          <w:szCs w:val="28"/>
          <w:vertAlign w:val="subscript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</w:t>
      </w:r>
      <w:r w:rsidRPr="002B4B8A">
        <w:rPr>
          <w:color w:val="000000"/>
          <w:sz w:val="28"/>
          <w:szCs w:val="28"/>
          <w:lang w:val="en-US"/>
        </w:rPr>
        <w:t>each</w:t>
      </w:r>
      <w:r>
        <w:rPr>
          <w:color w:val="000000"/>
          <w:sz w:val="28"/>
          <w:szCs w:val="28"/>
          <w:lang w:val="en-US"/>
        </w:rPr>
        <w:t xml:space="preserve"> </w:t>
      </w:r>
      <w:r w:rsidRPr="0046210B">
        <w:rPr>
          <w:color w:val="000000"/>
          <w:sz w:val="28"/>
          <w:szCs w:val="28"/>
          <w:lang w:val="en-US"/>
        </w:rPr>
        <w:t>155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>9±21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>8</w:t>
      </w:r>
      <w:r>
        <w:rPr>
          <w:color w:val="000000"/>
          <w:sz w:val="28"/>
          <w:szCs w:val="28"/>
          <w:lang w:val="en-US"/>
        </w:rPr>
        <w:t xml:space="preserve"> mm Hg and</w:t>
      </w:r>
      <w:r w:rsidRPr="0046210B">
        <w:rPr>
          <w:color w:val="000000"/>
          <w:sz w:val="28"/>
          <w:szCs w:val="28"/>
          <w:lang w:val="en-US"/>
        </w:rPr>
        <w:t xml:space="preserve"> 96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>2±1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>9 %</w:t>
      </w:r>
      <w:r>
        <w:rPr>
          <w:color w:val="000000"/>
          <w:sz w:val="28"/>
          <w:szCs w:val="28"/>
          <w:lang w:val="en-US"/>
        </w:rPr>
        <w:t>, respectively), the oxygenation indices of the donor EM</w:t>
      </w:r>
      <w:r w:rsidRPr="0046210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are not high (</w:t>
      </w:r>
      <w:r w:rsidRPr="00247E6E">
        <w:rPr>
          <w:color w:val="000000"/>
          <w:sz w:val="28"/>
          <w:szCs w:val="28"/>
          <w:lang w:val="en-US"/>
        </w:rPr>
        <w:t>pO</w:t>
      </w:r>
      <w:r w:rsidRPr="0046210B">
        <w:rPr>
          <w:color w:val="000000"/>
          <w:sz w:val="28"/>
          <w:szCs w:val="28"/>
          <w:vertAlign w:val="subscript"/>
          <w:lang w:val="en-US"/>
        </w:rPr>
        <w:t xml:space="preserve">2 </w:t>
      </w:r>
      <w:r w:rsidRPr="002B4B8A">
        <w:rPr>
          <w:color w:val="000000"/>
          <w:sz w:val="28"/>
          <w:szCs w:val="28"/>
          <w:lang w:val="en-US"/>
        </w:rPr>
        <w:t>and</w:t>
      </w:r>
      <w:r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247E6E">
        <w:rPr>
          <w:color w:val="000000"/>
          <w:sz w:val="28"/>
          <w:szCs w:val="28"/>
          <w:lang w:val="en-US"/>
        </w:rPr>
        <w:t>SO</w:t>
      </w:r>
      <w:r w:rsidRPr="0046210B">
        <w:rPr>
          <w:color w:val="000000"/>
          <w:sz w:val="28"/>
          <w:szCs w:val="28"/>
          <w:vertAlign w:val="subscript"/>
          <w:lang w:val="en-US"/>
        </w:rPr>
        <w:t>2</w:t>
      </w:r>
      <w:r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2B4B8A">
        <w:rPr>
          <w:color w:val="000000"/>
          <w:sz w:val="28"/>
          <w:szCs w:val="28"/>
          <w:lang w:val="en-US"/>
        </w:rPr>
        <w:t>values</w:t>
      </w:r>
      <w:r>
        <w:rPr>
          <w:color w:val="000000"/>
          <w:sz w:val="28"/>
          <w:szCs w:val="28"/>
          <w:vertAlign w:val="subscript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are </w:t>
      </w:r>
      <w:r w:rsidRPr="0046210B">
        <w:rPr>
          <w:color w:val="000000"/>
          <w:sz w:val="28"/>
          <w:szCs w:val="28"/>
          <w:lang w:val="en-US"/>
        </w:rPr>
        <w:t>39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>9±7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>01</w:t>
      </w:r>
      <w:r>
        <w:rPr>
          <w:color w:val="000000"/>
          <w:sz w:val="28"/>
          <w:szCs w:val="28"/>
          <w:lang w:val="en-US"/>
        </w:rPr>
        <w:t xml:space="preserve">mm Hg and </w:t>
      </w:r>
      <w:r w:rsidRPr="0046210B">
        <w:rPr>
          <w:color w:val="000000"/>
          <w:sz w:val="28"/>
          <w:szCs w:val="28"/>
          <w:lang w:val="en-US"/>
        </w:rPr>
        <w:t>45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>0±4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>6 %</w:t>
      </w:r>
      <w:r>
        <w:rPr>
          <w:color w:val="000000"/>
          <w:sz w:val="28"/>
          <w:szCs w:val="28"/>
          <w:lang w:val="en-US"/>
        </w:rPr>
        <w:t>, respectively)</w:t>
      </w:r>
      <w:r w:rsidRPr="0046210B">
        <w:rPr>
          <w:color w:val="000000"/>
          <w:sz w:val="28"/>
          <w:szCs w:val="28"/>
          <w:lang w:val="en-US"/>
        </w:rPr>
        <w:t xml:space="preserve"> (</w:t>
      </w:r>
      <w:r w:rsidRPr="00247E6E">
        <w:rPr>
          <w:color w:val="000000"/>
          <w:sz w:val="28"/>
          <w:szCs w:val="28"/>
        </w:rPr>
        <w:t>р</w:t>
      </w:r>
      <w:r w:rsidRPr="0046210B">
        <w:rPr>
          <w:color w:val="000000"/>
          <w:sz w:val="28"/>
          <w:szCs w:val="28"/>
          <w:lang w:val="en-US"/>
        </w:rPr>
        <w:t xml:space="preserve">&lt;0,001). </w:t>
      </w:r>
    </w:p>
    <w:p w:rsidR="00DD4EE4" w:rsidRPr="0046210B" w:rsidRDefault="00DD4EE4" w:rsidP="00DD4EE4">
      <w:pPr>
        <w:pStyle w:val="ab"/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The duration of donor EM storage was rather short and did not exceed </w:t>
      </w:r>
      <w:r w:rsidRPr="0046210B">
        <w:rPr>
          <w:color w:val="000000"/>
          <w:sz w:val="28"/>
          <w:szCs w:val="28"/>
          <w:lang w:val="en-US"/>
        </w:rPr>
        <w:t>3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>7±0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 xml:space="preserve">7 </w:t>
      </w:r>
      <w:r>
        <w:rPr>
          <w:color w:val="000000"/>
          <w:sz w:val="28"/>
          <w:szCs w:val="28"/>
          <w:lang w:val="en-US"/>
        </w:rPr>
        <w:t>days</w:t>
      </w:r>
      <w:r w:rsidRPr="0046210B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 xml:space="preserve">In despite of identical changes of acid-base balance in autologous blood collected with the use of </w:t>
      </w:r>
      <w:proofErr w:type="spellStart"/>
      <w:r>
        <w:rPr>
          <w:color w:val="000000"/>
          <w:sz w:val="28"/>
          <w:szCs w:val="28"/>
          <w:lang w:val="en-US"/>
        </w:rPr>
        <w:t>glugycir</w:t>
      </w:r>
      <w:proofErr w:type="spellEnd"/>
      <w:r>
        <w:rPr>
          <w:color w:val="000000"/>
          <w:sz w:val="28"/>
          <w:szCs w:val="28"/>
          <w:lang w:val="en-US"/>
        </w:rPr>
        <w:t xml:space="preserve"> and in donor EM, the autologous blood transfusion is better for patients because of its better oxygenation indices, the minimal</w:t>
      </w:r>
      <w:r>
        <w:rPr>
          <w:rStyle w:val="af2"/>
          <w:color w:val="000000"/>
          <w:sz w:val="28"/>
          <w:szCs w:val="28"/>
          <w:lang w:val="en-US"/>
        </w:rPr>
        <w:footnoteReference w:id="10"/>
      </w:r>
      <w:r>
        <w:rPr>
          <w:color w:val="000000"/>
          <w:sz w:val="28"/>
          <w:szCs w:val="28"/>
          <w:lang w:val="en-US"/>
        </w:rPr>
        <w:t xml:space="preserve"> storage duration of such blood being </w:t>
      </w:r>
      <w:r w:rsidRPr="0046210B">
        <w:rPr>
          <w:color w:val="000000"/>
          <w:sz w:val="28"/>
          <w:szCs w:val="28"/>
          <w:lang w:val="en-US"/>
        </w:rPr>
        <w:t>230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>6±54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 xml:space="preserve">8 </w:t>
      </w:r>
      <w:r>
        <w:rPr>
          <w:color w:val="000000"/>
          <w:sz w:val="28"/>
          <w:szCs w:val="28"/>
          <w:lang w:val="en-US"/>
        </w:rPr>
        <w:t>min</w:t>
      </w:r>
      <w:r w:rsidRPr="0046210B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>Besides, the own patient’s blood contains the complete set of clotting factors and active platelets</w:t>
      </w:r>
      <w:r w:rsidRPr="0046210B">
        <w:rPr>
          <w:color w:val="000000"/>
          <w:sz w:val="28"/>
          <w:szCs w:val="28"/>
          <w:lang w:val="en-US"/>
        </w:rPr>
        <w:t xml:space="preserve"> [3,</w:t>
      </w:r>
      <w:r>
        <w:rPr>
          <w:color w:val="000000"/>
          <w:sz w:val="28"/>
          <w:szCs w:val="28"/>
          <w:lang w:val="en-US"/>
        </w:rPr>
        <w:t xml:space="preserve"> </w:t>
      </w:r>
      <w:r w:rsidRPr="0046210B">
        <w:rPr>
          <w:color w:val="000000"/>
          <w:sz w:val="28"/>
          <w:szCs w:val="28"/>
          <w:lang w:val="en-US"/>
        </w:rPr>
        <w:t>7,</w:t>
      </w:r>
      <w:r>
        <w:rPr>
          <w:color w:val="000000"/>
          <w:sz w:val="28"/>
          <w:szCs w:val="28"/>
          <w:lang w:val="en-US"/>
        </w:rPr>
        <w:t xml:space="preserve"> </w:t>
      </w:r>
      <w:r w:rsidRPr="0046210B">
        <w:rPr>
          <w:color w:val="000000"/>
          <w:sz w:val="28"/>
          <w:szCs w:val="28"/>
          <w:lang w:val="en-US"/>
        </w:rPr>
        <w:t>8].</w:t>
      </w:r>
    </w:p>
    <w:p w:rsidR="00DD4EE4" w:rsidRPr="0046210B" w:rsidRDefault="00DD4EE4" w:rsidP="00DD4EE4">
      <w:pPr>
        <w:spacing w:line="360" w:lineRule="auto"/>
        <w:ind w:firstLine="709"/>
        <w:jc w:val="both"/>
        <w:rPr>
          <w:snapToGrid w:val="0"/>
          <w:sz w:val="28"/>
          <w:szCs w:val="28"/>
          <w:lang w:val="en-US"/>
        </w:rPr>
      </w:pPr>
    </w:p>
    <w:p w:rsidR="00DD4EE4" w:rsidRDefault="00DD4EE4" w:rsidP="00DD4EE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957885B" wp14:editId="2E16FA07">
            <wp:extent cx="4183380" cy="603504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60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E4" w:rsidRPr="002D3C39" w:rsidRDefault="00DD4EE4" w:rsidP="00DD4EE4">
      <w:pPr>
        <w:spacing w:line="360" w:lineRule="auto"/>
        <w:ind w:firstLine="709"/>
        <w:jc w:val="both"/>
        <w:rPr>
          <w:snapToGrid w:val="0"/>
          <w:sz w:val="28"/>
          <w:szCs w:val="28"/>
          <w:lang w:val="en-US"/>
        </w:rPr>
      </w:pPr>
      <w:proofErr w:type="gramStart"/>
      <w:r>
        <w:rPr>
          <w:snapToGrid w:val="0"/>
          <w:sz w:val="28"/>
          <w:szCs w:val="28"/>
          <w:lang w:val="en-US"/>
        </w:rPr>
        <w:t>Fig.</w:t>
      </w:r>
      <w:r w:rsidRPr="0046210B">
        <w:rPr>
          <w:snapToGrid w:val="0"/>
          <w:sz w:val="28"/>
          <w:szCs w:val="28"/>
          <w:lang w:val="en-US"/>
        </w:rPr>
        <w:t xml:space="preserve"> 1</w:t>
      </w:r>
      <w:r>
        <w:rPr>
          <w:snapToGrid w:val="0"/>
          <w:sz w:val="28"/>
          <w:szCs w:val="28"/>
          <w:lang w:val="en-US"/>
        </w:rPr>
        <w:t>.</w:t>
      </w:r>
      <w:proofErr w:type="gramEnd"/>
      <w:r>
        <w:rPr>
          <w:snapToGrid w:val="0"/>
          <w:sz w:val="28"/>
          <w:szCs w:val="28"/>
          <w:lang w:val="en-US"/>
        </w:rPr>
        <w:t xml:space="preserve"> </w:t>
      </w:r>
      <w:proofErr w:type="gramStart"/>
      <w:r>
        <w:rPr>
          <w:snapToGrid w:val="0"/>
          <w:sz w:val="28"/>
          <w:szCs w:val="28"/>
          <w:lang w:val="en-US"/>
        </w:rPr>
        <w:t>Depositing of autologous blood taken from the central vein before the beginning of perfusion</w:t>
      </w:r>
      <w:r w:rsidRPr="0046210B">
        <w:rPr>
          <w:snapToGrid w:val="0"/>
          <w:sz w:val="28"/>
          <w:szCs w:val="28"/>
          <w:lang w:val="en-US"/>
        </w:rPr>
        <w:t>.</w:t>
      </w:r>
      <w:proofErr w:type="gramEnd"/>
      <w:r w:rsidRPr="0046210B">
        <w:rPr>
          <w:snapToGrid w:val="0"/>
          <w:sz w:val="28"/>
          <w:szCs w:val="28"/>
          <w:lang w:val="en-US"/>
        </w:rPr>
        <w:t xml:space="preserve"> </w:t>
      </w:r>
      <w:proofErr w:type="gramStart"/>
      <w:r>
        <w:rPr>
          <w:snapToGrid w:val="0"/>
          <w:sz w:val="28"/>
          <w:szCs w:val="28"/>
          <w:lang w:val="en-US"/>
        </w:rPr>
        <w:t>A-variant of blood reserving</w:t>
      </w:r>
      <w:r w:rsidRPr="0046210B">
        <w:rPr>
          <w:snapToGrid w:val="0"/>
          <w:sz w:val="28"/>
          <w:szCs w:val="28"/>
          <w:lang w:val="en-US"/>
        </w:rPr>
        <w:t>.</w:t>
      </w:r>
      <w:proofErr w:type="gramEnd"/>
      <w:r>
        <w:rPr>
          <w:snapToGrid w:val="0"/>
          <w:sz w:val="28"/>
          <w:szCs w:val="28"/>
          <w:lang w:val="en-US"/>
        </w:rPr>
        <w:t xml:space="preserve"> </w:t>
      </w:r>
    </w:p>
    <w:p w:rsidR="00DD4EE4" w:rsidRPr="0046210B" w:rsidRDefault="00DD4EE4" w:rsidP="00DD4EE4">
      <w:pPr>
        <w:spacing w:line="360" w:lineRule="auto"/>
        <w:ind w:firstLine="709"/>
        <w:jc w:val="both"/>
        <w:rPr>
          <w:snapToGrid w:val="0"/>
          <w:sz w:val="28"/>
          <w:szCs w:val="28"/>
          <w:lang w:val="en-US"/>
        </w:rPr>
      </w:pPr>
    </w:p>
    <w:p w:rsidR="00DD4EE4" w:rsidRPr="0046210B" w:rsidRDefault="00DD4EE4" w:rsidP="00DD4EE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napToGrid w:val="0"/>
          <w:sz w:val="28"/>
          <w:szCs w:val="28"/>
          <w:lang w:val="en-US"/>
        </w:rPr>
        <w:t xml:space="preserve">Following the aorta cannulation, the procedure of the </w:t>
      </w:r>
      <w:r w:rsidRPr="00DC0BF2">
        <w:rPr>
          <w:snapToGrid w:val="0"/>
          <w:sz w:val="28"/>
          <w:szCs w:val="28"/>
          <w:lang w:val="en-US"/>
        </w:rPr>
        <w:t>retrograde</w:t>
      </w:r>
      <w:r w:rsidRPr="0046210B">
        <w:rPr>
          <w:snapToGrid w:val="0"/>
          <w:sz w:val="28"/>
          <w:szCs w:val="28"/>
          <w:lang w:val="en-US"/>
        </w:rPr>
        <w:t xml:space="preserve"> </w:t>
      </w:r>
      <w:proofErr w:type="spellStart"/>
      <w:r w:rsidRPr="00DC0BF2">
        <w:rPr>
          <w:snapToGrid w:val="0"/>
          <w:sz w:val="28"/>
          <w:szCs w:val="28"/>
          <w:lang w:val="en-US"/>
        </w:rPr>
        <w:t>autological</w:t>
      </w:r>
      <w:proofErr w:type="spellEnd"/>
      <w:r w:rsidRPr="0046210B">
        <w:rPr>
          <w:snapToGrid w:val="0"/>
          <w:sz w:val="28"/>
          <w:szCs w:val="28"/>
          <w:lang w:val="en-US"/>
        </w:rPr>
        <w:t xml:space="preserve"> </w:t>
      </w:r>
      <w:r w:rsidRPr="00DC0BF2">
        <w:rPr>
          <w:snapToGrid w:val="0"/>
          <w:sz w:val="28"/>
          <w:szCs w:val="28"/>
          <w:lang w:val="en-US"/>
        </w:rPr>
        <w:t>priming</w:t>
      </w:r>
      <w:r w:rsidRPr="0046210B">
        <w:rPr>
          <w:snapToGrid w:val="0"/>
          <w:sz w:val="28"/>
          <w:szCs w:val="28"/>
          <w:lang w:val="en-US"/>
        </w:rPr>
        <w:t xml:space="preserve"> (</w:t>
      </w:r>
      <w:r w:rsidRPr="00DC0BF2">
        <w:rPr>
          <w:snapToGrid w:val="0"/>
          <w:sz w:val="28"/>
          <w:szCs w:val="28"/>
          <w:lang w:val="en-US"/>
        </w:rPr>
        <w:t>RAP</w:t>
      </w:r>
      <w:r w:rsidRPr="0046210B">
        <w:rPr>
          <w:snapToGrid w:val="0"/>
          <w:sz w:val="28"/>
          <w:szCs w:val="28"/>
          <w:lang w:val="en-US"/>
        </w:rPr>
        <w:t xml:space="preserve">) </w:t>
      </w:r>
      <w:r>
        <w:rPr>
          <w:snapToGrid w:val="0"/>
          <w:sz w:val="28"/>
          <w:szCs w:val="28"/>
          <w:lang w:val="en-US"/>
        </w:rPr>
        <w:t xml:space="preserve">was realized in </w:t>
      </w:r>
      <w:r w:rsidRPr="0046210B">
        <w:rPr>
          <w:snapToGrid w:val="0"/>
          <w:sz w:val="28"/>
          <w:szCs w:val="28"/>
          <w:lang w:val="en-US"/>
        </w:rPr>
        <w:t xml:space="preserve">46 </w:t>
      </w:r>
      <w:r>
        <w:rPr>
          <w:snapToGrid w:val="0"/>
          <w:sz w:val="28"/>
          <w:szCs w:val="28"/>
          <w:lang w:val="en-US"/>
        </w:rPr>
        <w:t>patients</w:t>
      </w:r>
      <w:r w:rsidRPr="0046210B">
        <w:rPr>
          <w:snapToGrid w:val="0"/>
          <w:sz w:val="28"/>
          <w:szCs w:val="28"/>
          <w:lang w:val="en-US"/>
        </w:rPr>
        <w:t xml:space="preserve"> (</w:t>
      </w:r>
      <w:r>
        <w:rPr>
          <w:snapToGrid w:val="0"/>
          <w:sz w:val="28"/>
          <w:szCs w:val="28"/>
          <w:lang w:val="en-US"/>
        </w:rPr>
        <w:t>B-variant of blood reserving</w:t>
      </w:r>
      <w:r w:rsidRPr="0046210B">
        <w:rPr>
          <w:sz w:val="28"/>
          <w:szCs w:val="28"/>
          <w:lang w:val="en-US"/>
        </w:rPr>
        <w:t>)</w:t>
      </w:r>
      <w:r w:rsidRPr="0046210B">
        <w:rPr>
          <w:snapToGrid w:val="0"/>
          <w:sz w:val="28"/>
          <w:szCs w:val="28"/>
          <w:lang w:val="en-US"/>
        </w:rPr>
        <w:t xml:space="preserve">. </w:t>
      </w:r>
      <w:r>
        <w:rPr>
          <w:snapToGrid w:val="0"/>
          <w:sz w:val="28"/>
          <w:szCs w:val="28"/>
          <w:lang w:val="en-US"/>
        </w:rPr>
        <w:t>It is possible in cases of stable hemodynamics when the patient’s body weight reaches 80 kg and more, the hematocrit value (according to the last analysis data) being not lower than</w:t>
      </w:r>
      <w:r w:rsidRPr="0046210B">
        <w:rPr>
          <w:snapToGrid w:val="0"/>
          <w:sz w:val="28"/>
          <w:szCs w:val="28"/>
          <w:lang w:val="en-US"/>
        </w:rPr>
        <w:t xml:space="preserve"> 0</w:t>
      </w:r>
      <w:r>
        <w:rPr>
          <w:snapToGrid w:val="0"/>
          <w:sz w:val="28"/>
          <w:szCs w:val="28"/>
          <w:lang w:val="en-US"/>
        </w:rPr>
        <w:t>.</w:t>
      </w:r>
      <w:r w:rsidRPr="0046210B">
        <w:rPr>
          <w:snapToGrid w:val="0"/>
          <w:sz w:val="28"/>
          <w:szCs w:val="28"/>
          <w:lang w:val="en-US"/>
        </w:rPr>
        <w:t xml:space="preserve">36. </w:t>
      </w:r>
      <w:r>
        <w:rPr>
          <w:snapToGrid w:val="0"/>
          <w:sz w:val="28"/>
          <w:szCs w:val="28"/>
          <w:lang w:val="en-US"/>
        </w:rPr>
        <w:t xml:space="preserve">In these cases the heparinized blood is taken from the arterial line of CPB apparatus, the patient’s blood being collected into an oxygenator reservoir forcing out the initial bloodless </w:t>
      </w:r>
      <w:proofErr w:type="spellStart"/>
      <w:r>
        <w:rPr>
          <w:snapToGrid w:val="0"/>
          <w:sz w:val="28"/>
          <w:szCs w:val="28"/>
          <w:lang w:val="en-US"/>
        </w:rPr>
        <w:t>perfusate</w:t>
      </w:r>
      <w:proofErr w:type="spellEnd"/>
      <w:r>
        <w:rPr>
          <w:snapToGrid w:val="0"/>
          <w:sz w:val="28"/>
          <w:szCs w:val="28"/>
          <w:lang w:val="en-US"/>
        </w:rPr>
        <w:t xml:space="preserve"> which has been collected by a </w:t>
      </w:r>
      <w:proofErr w:type="spellStart"/>
      <w:r>
        <w:rPr>
          <w:snapToGrid w:val="0"/>
          <w:sz w:val="28"/>
          <w:szCs w:val="28"/>
          <w:lang w:val="en-US"/>
        </w:rPr>
        <w:t>perfusologist</w:t>
      </w:r>
      <w:proofErr w:type="spellEnd"/>
      <w:r>
        <w:rPr>
          <w:snapToGrid w:val="0"/>
          <w:sz w:val="28"/>
          <w:szCs w:val="28"/>
          <w:lang w:val="en-US"/>
        </w:rPr>
        <w:t xml:space="preserve"> in a separate reservoir</w:t>
      </w:r>
      <w:r w:rsidRPr="0046210B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Fig.</w:t>
      </w:r>
      <w:r w:rsidRPr="0046210B">
        <w:rPr>
          <w:sz w:val="28"/>
          <w:szCs w:val="28"/>
          <w:lang w:val="en-US"/>
        </w:rPr>
        <w:t xml:space="preserve"> 2).</w:t>
      </w:r>
    </w:p>
    <w:p w:rsidR="00DD4EE4" w:rsidRPr="0046210B" w:rsidRDefault="00DD4EE4" w:rsidP="00DD4EE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DD4EE4" w:rsidRPr="0046210B" w:rsidRDefault="00DD4EE4" w:rsidP="00DD4EE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DD4EE4" w:rsidRDefault="00DD4EE4" w:rsidP="00DD4E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82B8D5" wp14:editId="2BF99880">
            <wp:extent cx="6126480" cy="3120390"/>
            <wp:effectExtent l="19050" t="0" r="7620" b="0"/>
            <wp:docPr id="5" name="Рисунок 2" descr="mhtml:file://C:\Users\серж\Desktop\Perfusion%20Line%20-%20Guidelines%20&amp;%20Protocols.mht!http://perfline.com/guidelines/images/rap_va_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html:file://C:\Users\серж\Desktop\Perfusion%20Line%20-%20Guidelines%20&amp;%20Protocols.mht!http://perfline.com/guidelines/images/rap_va_2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12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E4" w:rsidRDefault="00DD4EE4" w:rsidP="00DD4EE4">
      <w:pPr>
        <w:spacing w:line="360" w:lineRule="auto"/>
        <w:ind w:firstLine="709"/>
        <w:jc w:val="both"/>
        <w:rPr>
          <w:sz w:val="28"/>
          <w:szCs w:val="28"/>
        </w:rPr>
      </w:pPr>
    </w:p>
    <w:p w:rsidR="00DD4EE4" w:rsidRDefault="00DD4EE4" w:rsidP="00DD4EE4">
      <w:pPr>
        <w:spacing w:line="360" w:lineRule="auto"/>
        <w:ind w:firstLine="709"/>
        <w:jc w:val="both"/>
        <w:rPr>
          <w:snapToGrid w:val="0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Fig.</w:t>
      </w:r>
      <w:r w:rsidRPr="0046210B"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  <w:lang w:val="en-US"/>
        </w:rPr>
        <w:t>.</w:t>
      </w:r>
      <w:proofErr w:type="gramEnd"/>
      <w:r w:rsidRPr="0046210B">
        <w:rPr>
          <w:sz w:val="28"/>
          <w:szCs w:val="28"/>
          <w:lang w:val="en-US"/>
        </w:rPr>
        <w:t xml:space="preserve"> </w:t>
      </w:r>
      <w:proofErr w:type="gramStart"/>
      <w:r>
        <w:rPr>
          <w:snapToGrid w:val="0"/>
          <w:sz w:val="28"/>
          <w:szCs w:val="28"/>
          <w:lang w:val="en-US"/>
        </w:rPr>
        <w:t>Depositing of autologous blood in the CPB apparatus from the aortal main line before the perfusion beginning</w:t>
      </w:r>
      <w:r w:rsidRPr="0046210B">
        <w:rPr>
          <w:snapToGrid w:val="0"/>
          <w:sz w:val="28"/>
          <w:szCs w:val="28"/>
          <w:lang w:val="en-US"/>
        </w:rPr>
        <w:t xml:space="preserve"> </w:t>
      </w:r>
      <w:r w:rsidRPr="0046210B">
        <w:rPr>
          <w:sz w:val="28"/>
          <w:szCs w:val="28"/>
          <w:lang w:val="en-US"/>
        </w:rPr>
        <w:t>(</w:t>
      </w:r>
      <w:r w:rsidRPr="00DC0BF2">
        <w:rPr>
          <w:snapToGrid w:val="0"/>
          <w:sz w:val="28"/>
          <w:szCs w:val="28"/>
          <w:lang w:val="en-US"/>
        </w:rPr>
        <w:t>RAP</w:t>
      </w:r>
      <w:r w:rsidRPr="0046210B">
        <w:rPr>
          <w:snapToGrid w:val="0"/>
          <w:sz w:val="28"/>
          <w:szCs w:val="28"/>
          <w:lang w:val="en-US"/>
        </w:rPr>
        <w:t>).</w:t>
      </w:r>
      <w:proofErr w:type="gramEnd"/>
      <w:r w:rsidRPr="0046210B">
        <w:rPr>
          <w:snapToGrid w:val="0"/>
          <w:sz w:val="28"/>
          <w:szCs w:val="28"/>
          <w:lang w:val="en-US"/>
        </w:rPr>
        <w:t xml:space="preserve"> </w:t>
      </w:r>
      <w:r>
        <w:rPr>
          <w:snapToGrid w:val="0"/>
          <w:sz w:val="28"/>
          <w:szCs w:val="28"/>
          <w:lang w:val="en-US"/>
        </w:rPr>
        <w:t xml:space="preserve"> </w:t>
      </w:r>
      <w:proofErr w:type="gramStart"/>
      <w:r>
        <w:rPr>
          <w:snapToGrid w:val="0"/>
          <w:sz w:val="28"/>
          <w:szCs w:val="28"/>
          <w:lang w:val="en-US"/>
        </w:rPr>
        <w:t>The</w:t>
      </w:r>
      <w:r w:rsidRPr="0046210B">
        <w:rPr>
          <w:snapToGrid w:val="0"/>
          <w:sz w:val="28"/>
          <w:szCs w:val="28"/>
          <w:lang w:val="en-US"/>
        </w:rPr>
        <w:t xml:space="preserve"> </w:t>
      </w:r>
      <w:r>
        <w:rPr>
          <w:snapToGrid w:val="0"/>
          <w:sz w:val="28"/>
          <w:szCs w:val="28"/>
          <w:lang w:val="en-US"/>
        </w:rPr>
        <w:t>B-variant of blood reserving</w:t>
      </w:r>
      <w:r w:rsidRPr="0046210B">
        <w:rPr>
          <w:snapToGrid w:val="0"/>
          <w:sz w:val="28"/>
          <w:szCs w:val="28"/>
          <w:lang w:val="en-US"/>
        </w:rPr>
        <w:t>.</w:t>
      </w:r>
      <w:proofErr w:type="gramEnd"/>
    </w:p>
    <w:p w:rsidR="00DD4EE4" w:rsidRPr="0072400C" w:rsidRDefault="00DD4EE4" w:rsidP="00DD4EE4">
      <w:pPr>
        <w:spacing w:line="360" w:lineRule="auto"/>
        <w:ind w:firstLine="709"/>
        <w:jc w:val="both"/>
        <w:rPr>
          <w:snapToGrid w:val="0"/>
          <w:sz w:val="28"/>
          <w:szCs w:val="28"/>
          <w:lang w:val="en-US"/>
        </w:rPr>
      </w:pPr>
    </w:p>
    <w:p w:rsidR="00DD4EE4" w:rsidRPr="0046210B" w:rsidRDefault="00DD4EE4" w:rsidP="00DD4EE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task of this operation stage is to decrease as maximally as possible the </w:t>
      </w:r>
      <w:proofErr w:type="spellStart"/>
      <w:r>
        <w:rPr>
          <w:sz w:val="28"/>
          <w:szCs w:val="28"/>
          <w:lang w:val="en-US"/>
        </w:rPr>
        <w:t>hemodilution</w:t>
      </w:r>
      <w:proofErr w:type="spellEnd"/>
      <w:r>
        <w:rPr>
          <w:sz w:val="28"/>
          <w:szCs w:val="28"/>
          <w:lang w:val="en-US"/>
        </w:rPr>
        <w:t xml:space="preserve"> volume following the CPB beginning due to the CPB apparatus filling by the own patient’s blood. This procedure is usually carrying out under the strict   </w:t>
      </w:r>
      <w:r w:rsidRPr="004621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hemodynamics control during about </w:t>
      </w:r>
      <w:r w:rsidRPr="0046210B">
        <w:rPr>
          <w:sz w:val="28"/>
          <w:szCs w:val="28"/>
          <w:lang w:val="en-US"/>
        </w:rPr>
        <w:t xml:space="preserve">9–10 </w:t>
      </w:r>
      <w:r>
        <w:rPr>
          <w:sz w:val="28"/>
          <w:szCs w:val="28"/>
          <w:lang w:val="en-US"/>
        </w:rPr>
        <w:t xml:space="preserve">min; thus, at this stage the use of any preparations lowering significantly the AP value (such as, for example, </w:t>
      </w:r>
      <w:proofErr w:type="spellStart"/>
      <w:r>
        <w:rPr>
          <w:sz w:val="28"/>
          <w:szCs w:val="28"/>
          <w:lang w:val="en-US"/>
        </w:rPr>
        <w:t>propofol</w:t>
      </w:r>
      <w:proofErr w:type="spellEnd"/>
      <w:r>
        <w:rPr>
          <w:sz w:val="28"/>
          <w:szCs w:val="28"/>
          <w:lang w:val="en-US"/>
        </w:rPr>
        <w:t>)   should be excluded</w:t>
      </w:r>
      <w:r w:rsidRPr="0046210B">
        <w:rPr>
          <w:sz w:val="28"/>
          <w:szCs w:val="28"/>
          <w:lang w:val="en-US"/>
        </w:rPr>
        <w:t>.</w:t>
      </w:r>
    </w:p>
    <w:p w:rsidR="00DD4EE4" w:rsidRPr="0046210B" w:rsidRDefault="00DD4EE4" w:rsidP="00DD4EE4">
      <w:pPr>
        <w:spacing w:line="360" w:lineRule="auto"/>
        <w:ind w:firstLine="709"/>
        <w:jc w:val="both"/>
        <w:rPr>
          <w:snapToGrid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During this period the operating surgeon carries out the vein cannulation and establishes a retrograde cannula. Using the B-variant of blood conserving</w:t>
      </w:r>
      <w:r w:rsidRPr="0046210B">
        <w:rPr>
          <w:sz w:val="28"/>
          <w:szCs w:val="28"/>
          <w:lang w:val="en-US"/>
        </w:rPr>
        <w:t xml:space="preserve"> (</w:t>
      </w:r>
      <w:r w:rsidRPr="00DC0BF2">
        <w:rPr>
          <w:snapToGrid w:val="0"/>
          <w:sz w:val="28"/>
          <w:szCs w:val="28"/>
          <w:lang w:val="en-US"/>
        </w:rPr>
        <w:t>RAP</w:t>
      </w:r>
      <w:r w:rsidRPr="0046210B">
        <w:rPr>
          <w:snapToGrid w:val="0"/>
          <w:sz w:val="28"/>
          <w:szCs w:val="28"/>
          <w:lang w:val="en-US"/>
        </w:rPr>
        <w:t>)</w:t>
      </w:r>
      <w:r w:rsidRPr="004621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we have successfully forced out of the CPB apparatus reservoir </w:t>
      </w:r>
      <w:r w:rsidRPr="0046210B">
        <w:rPr>
          <w:sz w:val="28"/>
          <w:szCs w:val="28"/>
          <w:lang w:val="en-US"/>
        </w:rPr>
        <w:t>564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8±157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 xml:space="preserve">ml of the </w:t>
      </w:r>
      <w:proofErr w:type="spellStart"/>
      <w:r>
        <w:rPr>
          <w:sz w:val="28"/>
          <w:szCs w:val="28"/>
          <w:lang w:val="en-US"/>
        </w:rPr>
        <w:t>perfusate</w:t>
      </w:r>
      <w:proofErr w:type="spellEnd"/>
      <w:r>
        <w:rPr>
          <w:sz w:val="28"/>
          <w:szCs w:val="28"/>
          <w:lang w:val="en-US"/>
        </w:rPr>
        <w:t xml:space="preserve">, i.e. </w:t>
      </w:r>
      <w:r w:rsidRPr="0046210B">
        <w:rPr>
          <w:sz w:val="28"/>
          <w:szCs w:val="28"/>
          <w:lang w:val="en-US"/>
        </w:rPr>
        <w:t>11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8±4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0% </w:t>
      </w:r>
      <w:r>
        <w:rPr>
          <w:sz w:val="28"/>
          <w:szCs w:val="28"/>
          <w:lang w:val="en-US"/>
        </w:rPr>
        <w:t>of the CBV</w:t>
      </w:r>
      <w:r w:rsidRPr="0046210B">
        <w:rPr>
          <w:sz w:val="28"/>
          <w:szCs w:val="28"/>
          <w:lang w:val="en-US"/>
        </w:rPr>
        <w:t>.</w:t>
      </w:r>
    </w:p>
    <w:p w:rsidR="00DD4EE4" w:rsidRPr="0046210B" w:rsidRDefault="00DD4EE4" w:rsidP="00DD4EE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the blood analysis before CPB showed the hematocrit levels reaching 0.4 and higher, the patient’s weight being 80 kg or more and the oxygenator </w:t>
      </w:r>
      <w:r>
        <w:rPr>
          <w:sz w:val="28"/>
          <w:szCs w:val="28"/>
          <w:lang w:val="en-US"/>
        </w:rPr>
        <w:lastRenderedPageBreak/>
        <w:t>level being above 1500 ml, it was possible to realize the B-variant of blood reserving at the beginning of perfusion</w:t>
      </w:r>
      <w:r w:rsidRPr="0046210B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Fig</w:t>
      </w:r>
      <w:r w:rsidRPr="0046210B">
        <w:rPr>
          <w:sz w:val="28"/>
          <w:szCs w:val="28"/>
          <w:lang w:val="en-US"/>
        </w:rPr>
        <w:t>. 3).</w:t>
      </w:r>
    </w:p>
    <w:p w:rsidR="00DD4EE4" w:rsidRPr="0046210B" w:rsidRDefault="00DD4EE4" w:rsidP="00DD4EE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DD4EE4" w:rsidRPr="0046210B" w:rsidRDefault="00DD4EE4" w:rsidP="00DD4EE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DD4EE4" w:rsidRDefault="00DD4EE4" w:rsidP="00DD4E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5C272A" wp14:editId="675746BB">
            <wp:extent cx="6092190" cy="3669030"/>
            <wp:effectExtent l="19050" t="0" r="3810" b="0"/>
            <wp:docPr id="6" name="Рисунок 3" descr="blo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lood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66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E4" w:rsidRDefault="00DD4EE4" w:rsidP="00DD4EE4">
      <w:pPr>
        <w:spacing w:line="360" w:lineRule="auto"/>
        <w:ind w:firstLine="709"/>
        <w:jc w:val="both"/>
        <w:rPr>
          <w:sz w:val="28"/>
          <w:szCs w:val="28"/>
        </w:rPr>
      </w:pPr>
    </w:p>
    <w:p w:rsidR="00DD4EE4" w:rsidRDefault="00DD4EE4" w:rsidP="00DD4EE4">
      <w:pPr>
        <w:spacing w:line="360" w:lineRule="auto"/>
        <w:ind w:firstLine="709"/>
        <w:jc w:val="both"/>
        <w:rPr>
          <w:snapToGrid w:val="0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Fig.</w:t>
      </w:r>
      <w:r w:rsidRPr="0046210B">
        <w:rPr>
          <w:sz w:val="28"/>
          <w:szCs w:val="28"/>
          <w:lang w:val="en-US"/>
        </w:rPr>
        <w:t xml:space="preserve"> 3.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Perfusate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deposition  in</w:t>
      </w:r>
      <w:proofErr w:type="gramEnd"/>
      <w:r>
        <w:rPr>
          <w:sz w:val="28"/>
          <w:szCs w:val="28"/>
          <w:lang w:val="en-US"/>
        </w:rPr>
        <w:t xml:space="preserve"> the CPB apparatus from the venous main line during perfusion.</w:t>
      </w:r>
      <w:r w:rsidRPr="0046210B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The C-variant of the blood reserving</w:t>
      </w:r>
      <w:r w:rsidRPr="0046210B">
        <w:rPr>
          <w:snapToGrid w:val="0"/>
          <w:sz w:val="28"/>
          <w:szCs w:val="28"/>
          <w:lang w:val="en-US"/>
        </w:rPr>
        <w:t>.</w:t>
      </w:r>
      <w:proofErr w:type="gramEnd"/>
    </w:p>
    <w:p w:rsidR="00DD4EE4" w:rsidRPr="00927ABB" w:rsidRDefault="00DD4EE4" w:rsidP="00DD4EE4">
      <w:pPr>
        <w:spacing w:line="360" w:lineRule="auto"/>
        <w:ind w:firstLine="709"/>
        <w:jc w:val="both"/>
        <w:rPr>
          <w:snapToGrid w:val="0"/>
          <w:sz w:val="28"/>
          <w:szCs w:val="28"/>
          <w:lang w:val="en-US"/>
        </w:rPr>
      </w:pPr>
    </w:p>
    <w:p w:rsidR="00DD4EE4" w:rsidRPr="0046210B" w:rsidRDefault="00DD4EE4" w:rsidP="00DD4EE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have successfully carried out this procedure in 34 cases as an isolated one and in 104 patients in combination with other variants (A or B).</w:t>
      </w:r>
      <w:r w:rsidRPr="004621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proofErr w:type="spellStart"/>
      <w:r>
        <w:rPr>
          <w:sz w:val="28"/>
          <w:szCs w:val="28"/>
          <w:lang w:val="en-US"/>
        </w:rPr>
        <w:t>exfusion</w:t>
      </w:r>
      <w:proofErr w:type="spellEnd"/>
      <w:r w:rsidRPr="004621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volume of autologous blood </w:t>
      </w:r>
      <w:proofErr w:type="spellStart"/>
      <w:r>
        <w:rPr>
          <w:sz w:val="28"/>
          <w:szCs w:val="28"/>
          <w:lang w:val="en-US"/>
        </w:rPr>
        <w:t>perfusate</w:t>
      </w:r>
      <w:proofErr w:type="spellEnd"/>
      <w:r>
        <w:rPr>
          <w:sz w:val="28"/>
          <w:szCs w:val="28"/>
          <w:lang w:val="en-US"/>
        </w:rPr>
        <w:t xml:space="preserve"> passed through the venous oxygenator port was </w:t>
      </w:r>
      <w:r w:rsidRPr="0046210B">
        <w:rPr>
          <w:sz w:val="28"/>
          <w:szCs w:val="28"/>
          <w:lang w:val="en-US"/>
        </w:rPr>
        <w:t>495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8±148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ml</w:t>
      </w:r>
      <w:r w:rsidRPr="0046210B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i.e.</w:t>
      </w:r>
      <w:r w:rsidRPr="0046210B">
        <w:rPr>
          <w:sz w:val="28"/>
          <w:szCs w:val="28"/>
          <w:lang w:val="en-US"/>
        </w:rPr>
        <w:t>11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1±3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3% </w:t>
      </w:r>
      <w:r>
        <w:rPr>
          <w:sz w:val="28"/>
          <w:szCs w:val="28"/>
          <w:lang w:val="en-US"/>
        </w:rPr>
        <w:t>of the CBV</w:t>
      </w:r>
      <w:r w:rsidRPr="0046210B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, its calculated volume being </w:t>
      </w:r>
      <w:r w:rsidRPr="0046210B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4±0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l</w:t>
      </w:r>
      <w:r w:rsidRPr="0046210B">
        <w:rPr>
          <w:sz w:val="28"/>
          <w:szCs w:val="28"/>
          <w:lang w:val="en-US"/>
        </w:rPr>
        <w:t xml:space="preserve">). </w:t>
      </w:r>
    </w:p>
    <w:p w:rsidR="00DD4EE4" w:rsidRPr="0046210B" w:rsidRDefault="00DD4EE4" w:rsidP="00DD4EE4">
      <w:pPr>
        <w:spacing w:line="360" w:lineRule="auto"/>
        <w:ind w:firstLine="709"/>
        <w:jc w:val="both"/>
        <w:rPr>
          <w:snapToGrid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After autologous blood </w:t>
      </w:r>
      <w:proofErr w:type="spellStart"/>
      <w:r>
        <w:rPr>
          <w:sz w:val="28"/>
          <w:szCs w:val="28"/>
          <w:lang w:val="en-US"/>
        </w:rPr>
        <w:t>exfusion</w:t>
      </w:r>
      <w:proofErr w:type="spellEnd"/>
      <w:r>
        <w:rPr>
          <w:sz w:val="28"/>
          <w:szCs w:val="28"/>
          <w:lang w:val="en-US"/>
        </w:rPr>
        <w:t xml:space="preserve"> on this stage the hemoglobin decrease was observed from </w:t>
      </w:r>
      <w:r w:rsidRPr="0046210B">
        <w:rPr>
          <w:sz w:val="28"/>
          <w:szCs w:val="28"/>
          <w:lang w:val="en-US"/>
        </w:rPr>
        <w:t>133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8±11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g</w:t>
      </w:r>
      <w:r w:rsidRPr="0046210B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l up to </w:t>
      </w:r>
      <w:r w:rsidRPr="0046210B">
        <w:rPr>
          <w:sz w:val="28"/>
          <w:szCs w:val="28"/>
          <w:lang w:val="en-US"/>
        </w:rPr>
        <w:t>98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7±10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g/l,</w:t>
      </w:r>
      <w:r w:rsidRPr="004621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hematocrit and protein level having </w:t>
      </w:r>
      <w:proofErr w:type="spellStart"/>
      <w:r>
        <w:rPr>
          <w:sz w:val="28"/>
          <w:szCs w:val="28"/>
          <w:lang w:val="en-US"/>
        </w:rPr>
        <w:t>became</w:t>
      </w:r>
      <w:proofErr w:type="spellEnd"/>
      <w:r>
        <w:rPr>
          <w:sz w:val="28"/>
          <w:szCs w:val="28"/>
          <w:lang w:val="en-US"/>
        </w:rPr>
        <w:t xml:space="preserve"> lower from </w:t>
      </w:r>
      <w:r w:rsidRPr="0046210B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40±0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04 </w:t>
      </w:r>
      <w:r>
        <w:rPr>
          <w:sz w:val="28"/>
          <w:szCs w:val="28"/>
          <w:lang w:val="en-US"/>
        </w:rPr>
        <w:t>up to</w:t>
      </w:r>
      <w:r w:rsidRPr="0046210B">
        <w:rPr>
          <w:sz w:val="28"/>
          <w:szCs w:val="28"/>
          <w:lang w:val="en-US"/>
        </w:rPr>
        <w:t xml:space="preserve"> 0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30±0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04</w:t>
      </w:r>
      <w:r>
        <w:rPr>
          <w:sz w:val="28"/>
          <w:szCs w:val="28"/>
          <w:lang w:val="en-US"/>
        </w:rPr>
        <w:t xml:space="preserve"> and from</w:t>
      </w:r>
      <w:r w:rsidRPr="0046210B">
        <w:rPr>
          <w:sz w:val="28"/>
          <w:szCs w:val="28"/>
          <w:lang w:val="en-US"/>
        </w:rPr>
        <w:t xml:space="preserve"> 71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8±6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0 </w:t>
      </w:r>
      <w:r>
        <w:rPr>
          <w:sz w:val="28"/>
          <w:szCs w:val="28"/>
          <w:lang w:val="en-US"/>
        </w:rPr>
        <w:t xml:space="preserve">up to </w:t>
      </w:r>
      <w:r w:rsidRPr="0046210B">
        <w:rPr>
          <w:sz w:val="28"/>
          <w:szCs w:val="28"/>
          <w:lang w:val="en-US"/>
        </w:rPr>
        <w:t>55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5±4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g</w:t>
      </w:r>
      <w:r w:rsidRPr="0046210B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l</w:t>
      </w:r>
      <w:r w:rsidRPr="0046210B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respectively; such situation is a safe one being not accompanied by significant drop of blood oxygen capacity</w:t>
      </w:r>
      <w:r w:rsidRPr="0046210B">
        <w:rPr>
          <w:sz w:val="28"/>
          <w:szCs w:val="28"/>
          <w:lang w:val="en-US"/>
        </w:rPr>
        <w:t>.</w:t>
      </w:r>
    </w:p>
    <w:p w:rsidR="00DD4EE4" w:rsidRPr="00DC0BF2" w:rsidRDefault="00DD4EE4" w:rsidP="00DD4EE4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Thus, the maximal autologous blood </w:t>
      </w:r>
      <w:proofErr w:type="spellStart"/>
      <w:r>
        <w:rPr>
          <w:sz w:val="28"/>
          <w:szCs w:val="28"/>
          <w:lang w:val="en-US"/>
        </w:rPr>
        <w:t>exfusion</w:t>
      </w:r>
      <w:proofErr w:type="spellEnd"/>
      <w:r>
        <w:rPr>
          <w:sz w:val="28"/>
          <w:szCs w:val="28"/>
          <w:lang w:val="en-US"/>
        </w:rPr>
        <w:t xml:space="preserve"> at operation stages for the variant</w:t>
      </w:r>
      <w:r w:rsidRPr="0046210B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A</w:t>
      </w:r>
      <w:r w:rsidRPr="0046210B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B+C</w:t>
      </w:r>
      <w:r w:rsidRPr="0046210B">
        <w:rPr>
          <w:sz w:val="28"/>
          <w:szCs w:val="28"/>
          <w:lang w:val="en-US"/>
        </w:rPr>
        <w:t xml:space="preserve">» </w:t>
      </w:r>
      <w:r>
        <w:rPr>
          <w:sz w:val="28"/>
          <w:szCs w:val="28"/>
          <w:lang w:val="en-US"/>
        </w:rPr>
        <w:t xml:space="preserve">reached </w:t>
      </w:r>
      <w:r w:rsidRPr="0046210B">
        <w:rPr>
          <w:sz w:val="28"/>
          <w:szCs w:val="28"/>
          <w:lang w:val="en-US"/>
        </w:rPr>
        <w:t>1557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2±473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ml</w:t>
      </w:r>
      <w:r w:rsidRPr="0046210B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 xml:space="preserve">i.e. </w:t>
      </w:r>
      <w:r w:rsidRPr="0046210B">
        <w:rPr>
          <w:sz w:val="28"/>
          <w:szCs w:val="28"/>
          <w:lang w:val="en-US"/>
        </w:rPr>
        <w:t>29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2±8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9% </w:t>
      </w:r>
      <w:r>
        <w:rPr>
          <w:sz w:val="28"/>
          <w:szCs w:val="28"/>
          <w:lang w:val="en-US"/>
        </w:rPr>
        <w:t>of the CBV</w:t>
      </w:r>
      <w:r w:rsidRPr="0046210B">
        <w:rPr>
          <w:sz w:val="28"/>
          <w:szCs w:val="28"/>
          <w:lang w:val="en-US"/>
        </w:rPr>
        <w:t>),</w:t>
      </w:r>
      <w:r>
        <w:rPr>
          <w:sz w:val="28"/>
          <w:szCs w:val="28"/>
          <w:lang w:val="en-US"/>
        </w:rPr>
        <w:t xml:space="preserve"> the minimal one being found for isolated A- (</w:t>
      </w:r>
      <w:r w:rsidRPr="0046210B">
        <w:rPr>
          <w:sz w:val="28"/>
          <w:szCs w:val="28"/>
          <w:lang w:val="en-US"/>
        </w:rPr>
        <w:t>414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7±93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ml) and C-variants</w:t>
      </w:r>
      <w:r w:rsidRPr="004621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 w:rsidRPr="0046210B">
        <w:rPr>
          <w:sz w:val="28"/>
          <w:szCs w:val="28"/>
          <w:lang w:val="en-US"/>
        </w:rPr>
        <w:t>495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8±144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 xml:space="preserve">ml) </w:t>
      </w:r>
      <w:r w:rsidRPr="0046210B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see the Table</w:t>
      </w:r>
      <w:r w:rsidRPr="0046210B">
        <w:rPr>
          <w:sz w:val="28"/>
          <w:szCs w:val="28"/>
          <w:lang w:val="en-US"/>
        </w:rPr>
        <w:t xml:space="preserve">. </w:t>
      </w:r>
      <w:r w:rsidRPr="00DC0BF2">
        <w:rPr>
          <w:sz w:val="28"/>
          <w:szCs w:val="28"/>
        </w:rPr>
        <w:t xml:space="preserve">2). </w:t>
      </w:r>
    </w:p>
    <w:p w:rsidR="00DD4EE4" w:rsidRPr="00BD12EF" w:rsidRDefault="00DD4EE4" w:rsidP="00DD4EE4">
      <w:pPr>
        <w:pStyle w:val="1"/>
        <w:spacing w:line="360" w:lineRule="auto"/>
        <w:ind w:firstLine="709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Table </w:t>
      </w:r>
      <w:r w:rsidRPr="00BD12EF">
        <w:rPr>
          <w:sz w:val="28"/>
          <w:szCs w:val="28"/>
          <w:lang w:val="en-US"/>
        </w:rPr>
        <w:t>2</w:t>
      </w:r>
    </w:p>
    <w:p w:rsidR="00DD4EE4" w:rsidRPr="00BD12EF" w:rsidRDefault="00DD4EE4" w:rsidP="00DD4EE4">
      <w:pPr>
        <w:pStyle w:val="1"/>
        <w:spacing w:line="360" w:lineRule="auto"/>
        <w:ind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Quantity of blood collected in different reservation groups</w:t>
      </w:r>
    </w:p>
    <w:tbl>
      <w:tblPr>
        <w:tblW w:w="1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1680"/>
        <w:gridCol w:w="1650"/>
        <w:gridCol w:w="2040"/>
        <w:gridCol w:w="1920"/>
        <w:gridCol w:w="2252"/>
        <w:gridCol w:w="2972"/>
        <w:gridCol w:w="2972"/>
        <w:gridCol w:w="2972"/>
      </w:tblGrid>
      <w:tr w:rsidR="00DD4EE4" w:rsidRPr="0097249E" w:rsidTr="00AF273B">
        <w:tc>
          <w:tcPr>
            <w:tcW w:w="1320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Group of blood reserving</w:t>
            </w:r>
          </w:p>
        </w:tc>
        <w:tc>
          <w:tcPr>
            <w:tcW w:w="1680" w:type="dxa"/>
          </w:tcPr>
          <w:p w:rsidR="00DD4EE4" w:rsidRPr="00F151E5" w:rsidRDefault="00DD4EE4" w:rsidP="00AF273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Blood </w:t>
            </w:r>
            <w:proofErr w:type="spellStart"/>
            <w:r>
              <w:rPr>
                <w:sz w:val="28"/>
                <w:szCs w:val="28"/>
                <w:lang w:val="en-US"/>
              </w:rPr>
              <w:t>exfusion</w:t>
            </w:r>
            <w:proofErr w:type="spellEnd"/>
            <w:r>
              <w:rPr>
                <w:sz w:val="28"/>
                <w:szCs w:val="28"/>
                <w:lang w:val="en-US"/>
              </w:rPr>
              <w:t>, ml</w:t>
            </w:r>
          </w:p>
        </w:tc>
        <w:tc>
          <w:tcPr>
            <w:tcW w:w="1650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  <w:r w:rsidRPr="0097249E">
              <w:rPr>
                <w:sz w:val="28"/>
                <w:szCs w:val="28"/>
                <w:lang w:val="en-US"/>
              </w:rPr>
              <w:t>RAP</w:t>
            </w:r>
            <w:r>
              <w:rPr>
                <w:sz w:val="28"/>
                <w:szCs w:val="28"/>
                <w:lang w:val="en-US"/>
              </w:rPr>
              <w:t>, ml</w:t>
            </w:r>
          </w:p>
        </w:tc>
        <w:tc>
          <w:tcPr>
            <w:tcW w:w="2040" w:type="dxa"/>
          </w:tcPr>
          <w:p w:rsidR="00DD4EE4" w:rsidRPr="0046210B" w:rsidRDefault="00DD4EE4" w:rsidP="00AF273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Blood </w:t>
            </w:r>
            <w:proofErr w:type="spellStart"/>
            <w:r>
              <w:rPr>
                <w:sz w:val="28"/>
                <w:szCs w:val="28"/>
                <w:lang w:val="en-US"/>
              </w:rPr>
              <w:t>exfusion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at the beginning of perfusion from the CPB apparatus, ml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 all, ml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  <w:r w:rsidRPr="0097249E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  <w:lang w:val="en-US"/>
              </w:rPr>
              <w:t>from CBV</w:t>
            </w:r>
          </w:p>
        </w:tc>
        <w:tc>
          <w:tcPr>
            <w:tcW w:w="2972" w:type="dxa"/>
            <w:tcBorders>
              <w:left w:val="nil"/>
            </w:tcBorders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D4EE4" w:rsidRPr="0097249E" w:rsidTr="00AF273B">
        <w:tc>
          <w:tcPr>
            <w:tcW w:w="1320" w:type="dxa"/>
          </w:tcPr>
          <w:p w:rsidR="00DD4EE4" w:rsidRPr="009832D8" w:rsidRDefault="00DD4EE4" w:rsidP="00AF273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680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  <w:r w:rsidRPr="0097249E">
              <w:rPr>
                <w:sz w:val="28"/>
                <w:szCs w:val="28"/>
              </w:rPr>
              <w:t>495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2±129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9</w:t>
            </w:r>
          </w:p>
        </w:tc>
        <w:tc>
          <w:tcPr>
            <w:tcW w:w="1650" w:type="dxa"/>
          </w:tcPr>
          <w:p w:rsidR="00DD4EE4" w:rsidRPr="0097249E" w:rsidRDefault="00DD4EE4" w:rsidP="00AF273B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DD4EE4" w:rsidRPr="0097249E" w:rsidRDefault="00DD4EE4" w:rsidP="00AF273B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  <w:r w:rsidRPr="0097249E">
              <w:rPr>
                <w:sz w:val="28"/>
                <w:szCs w:val="28"/>
              </w:rPr>
              <w:t>495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2±129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  <w:r w:rsidRPr="0097249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4±2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8</w:t>
            </w:r>
          </w:p>
        </w:tc>
        <w:tc>
          <w:tcPr>
            <w:tcW w:w="2972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D4EE4" w:rsidRPr="0097249E" w:rsidTr="00AF273B">
        <w:tc>
          <w:tcPr>
            <w:tcW w:w="1320" w:type="dxa"/>
          </w:tcPr>
          <w:p w:rsidR="00DD4EE4" w:rsidRPr="0097249E" w:rsidRDefault="00DD4EE4" w:rsidP="00AF27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A+B</w:t>
            </w:r>
          </w:p>
        </w:tc>
        <w:tc>
          <w:tcPr>
            <w:tcW w:w="1680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  <w:r w:rsidRPr="0097249E">
              <w:rPr>
                <w:sz w:val="28"/>
                <w:szCs w:val="28"/>
              </w:rPr>
              <w:t>414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7±93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  <w:r w:rsidRPr="0097249E">
              <w:rPr>
                <w:sz w:val="28"/>
                <w:szCs w:val="28"/>
              </w:rPr>
              <w:t>555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8±129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8</w:t>
            </w:r>
          </w:p>
        </w:tc>
        <w:tc>
          <w:tcPr>
            <w:tcW w:w="2040" w:type="dxa"/>
          </w:tcPr>
          <w:p w:rsidR="00DD4EE4" w:rsidRPr="0097249E" w:rsidRDefault="00DD4EE4" w:rsidP="00AF273B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  <w:r w:rsidRPr="0097249E">
              <w:rPr>
                <w:sz w:val="28"/>
                <w:szCs w:val="28"/>
              </w:rPr>
              <w:t>970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5±222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9</w:t>
            </w:r>
          </w:p>
        </w:tc>
        <w:tc>
          <w:tcPr>
            <w:tcW w:w="2252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  <w:r w:rsidRPr="0097249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5±4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7</w:t>
            </w:r>
          </w:p>
        </w:tc>
        <w:tc>
          <w:tcPr>
            <w:tcW w:w="2972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D4EE4" w:rsidRPr="0097249E" w:rsidTr="00AF273B">
        <w:tc>
          <w:tcPr>
            <w:tcW w:w="1320" w:type="dxa"/>
          </w:tcPr>
          <w:p w:rsidR="00DD4EE4" w:rsidRPr="0097249E" w:rsidRDefault="00DD4EE4" w:rsidP="00AF27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A+C</w:t>
            </w:r>
          </w:p>
        </w:tc>
        <w:tc>
          <w:tcPr>
            <w:tcW w:w="1680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  <w:r w:rsidRPr="0097249E">
              <w:rPr>
                <w:sz w:val="28"/>
                <w:szCs w:val="28"/>
              </w:rPr>
              <w:t>447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2±91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2</w:t>
            </w:r>
          </w:p>
        </w:tc>
        <w:tc>
          <w:tcPr>
            <w:tcW w:w="1650" w:type="dxa"/>
          </w:tcPr>
          <w:p w:rsidR="00DD4EE4" w:rsidRPr="0097249E" w:rsidRDefault="00DD4EE4" w:rsidP="00AF273B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  <w:r w:rsidRPr="0097249E">
              <w:rPr>
                <w:sz w:val="28"/>
                <w:szCs w:val="28"/>
              </w:rPr>
              <w:t>501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9±159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9</w:t>
            </w:r>
          </w:p>
        </w:tc>
        <w:tc>
          <w:tcPr>
            <w:tcW w:w="1920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  <w:r w:rsidRPr="0097249E">
              <w:rPr>
                <w:sz w:val="28"/>
                <w:szCs w:val="28"/>
              </w:rPr>
              <w:t>949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1±251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  <w:r w:rsidRPr="0097249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1±5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1</w:t>
            </w:r>
          </w:p>
        </w:tc>
        <w:tc>
          <w:tcPr>
            <w:tcW w:w="2972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D4EE4" w:rsidRPr="0097249E" w:rsidTr="00AF273B">
        <w:tc>
          <w:tcPr>
            <w:tcW w:w="1320" w:type="dxa"/>
          </w:tcPr>
          <w:p w:rsidR="00DD4EE4" w:rsidRPr="0097249E" w:rsidRDefault="00DD4EE4" w:rsidP="00AF27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A+B+C</w:t>
            </w:r>
          </w:p>
        </w:tc>
        <w:tc>
          <w:tcPr>
            <w:tcW w:w="1680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  <w:r w:rsidRPr="0097249E">
              <w:rPr>
                <w:sz w:val="28"/>
                <w:szCs w:val="28"/>
              </w:rPr>
              <w:t>490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5±144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6</w:t>
            </w:r>
          </w:p>
        </w:tc>
        <w:tc>
          <w:tcPr>
            <w:tcW w:w="1650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  <w:r w:rsidRPr="0097249E">
              <w:rPr>
                <w:sz w:val="28"/>
                <w:szCs w:val="28"/>
              </w:rPr>
              <w:t>573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8±185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5</w:t>
            </w:r>
          </w:p>
        </w:tc>
        <w:tc>
          <w:tcPr>
            <w:tcW w:w="2040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  <w:r w:rsidRPr="0097249E">
              <w:rPr>
                <w:sz w:val="28"/>
                <w:szCs w:val="28"/>
              </w:rPr>
              <w:t>492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9±143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  <w:r w:rsidRPr="0097249E">
              <w:rPr>
                <w:sz w:val="28"/>
                <w:szCs w:val="28"/>
              </w:rPr>
              <w:t>1557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2±473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5</w:t>
            </w:r>
          </w:p>
        </w:tc>
        <w:tc>
          <w:tcPr>
            <w:tcW w:w="2252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  <w:r w:rsidRPr="0097249E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2±8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9</w:t>
            </w:r>
          </w:p>
        </w:tc>
        <w:tc>
          <w:tcPr>
            <w:tcW w:w="2972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D4EE4" w:rsidRPr="0097249E" w:rsidTr="00AF273B">
        <w:tc>
          <w:tcPr>
            <w:tcW w:w="1320" w:type="dxa"/>
          </w:tcPr>
          <w:p w:rsidR="00DD4EE4" w:rsidRPr="00F151E5" w:rsidRDefault="00DD4EE4" w:rsidP="00AF273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680" w:type="dxa"/>
          </w:tcPr>
          <w:p w:rsidR="00DD4EE4" w:rsidRPr="0097249E" w:rsidRDefault="00DD4EE4" w:rsidP="00AF273B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DD4EE4" w:rsidRPr="0097249E" w:rsidRDefault="00DD4EE4" w:rsidP="00AF273B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  <w:r w:rsidRPr="0097249E">
              <w:rPr>
                <w:sz w:val="28"/>
                <w:szCs w:val="28"/>
              </w:rPr>
              <w:t>495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8±144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8</w:t>
            </w:r>
          </w:p>
        </w:tc>
        <w:tc>
          <w:tcPr>
            <w:tcW w:w="1920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  <w:r w:rsidRPr="0097249E">
              <w:rPr>
                <w:sz w:val="28"/>
                <w:szCs w:val="28"/>
              </w:rPr>
              <w:t>495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8±144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8</w:t>
            </w:r>
          </w:p>
        </w:tc>
        <w:tc>
          <w:tcPr>
            <w:tcW w:w="2252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  <w:r w:rsidRPr="0097249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1±3</w:t>
            </w:r>
            <w:r>
              <w:rPr>
                <w:sz w:val="28"/>
                <w:szCs w:val="28"/>
                <w:lang w:val="en-US"/>
              </w:rPr>
              <w:t>.</w:t>
            </w:r>
            <w:r w:rsidRPr="0097249E">
              <w:rPr>
                <w:sz w:val="28"/>
                <w:szCs w:val="28"/>
              </w:rPr>
              <w:t>3</w:t>
            </w:r>
          </w:p>
        </w:tc>
        <w:tc>
          <w:tcPr>
            <w:tcW w:w="2972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DD4EE4" w:rsidRPr="0097249E" w:rsidRDefault="00DD4EE4" w:rsidP="00AF273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D4EE4" w:rsidRPr="0097249E" w:rsidRDefault="00DD4EE4" w:rsidP="00DD4EE4">
      <w:pPr>
        <w:spacing w:line="360" w:lineRule="auto"/>
        <w:ind w:firstLine="709"/>
        <w:rPr>
          <w:snapToGrid w:val="0"/>
          <w:sz w:val="28"/>
          <w:szCs w:val="28"/>
        </w:rPr>
      </w:pPr>
    </w:p>
    <w:p w:rsidR="00DD4EE4" w:rsidRPr="0046210B" w:rsidRDefault="00DD4EE4" w:rsidP="00DD4EE4">
      <w:pPr>
        <w:pStyle w:val="ab"/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The variants of autologous blood reservation used in our work in the main group of patients are demonstrated in the Table </w:t>
      </w:r>
      <w:r w:rsidRPr="0046210B">
        <w:rPr>
          <w:color w:val="000000"/>
          <w:sz w:val="28"/>
          <w:szCs w:val="28"/>
          <w:lang w:val="en-US"/>
        </w:rPr>
        <w:t>3.</w:t>
      </w:r>
    </w:p>
    <w:p w:rsidR="00DD4EE4" w:rsidRPr="0046210B" w:rsidRDefault="00DD4EE4" w:rsidP="00DD4EE4">
      <w:pPr>
        <w:pStyle w:val="ab"/>
        <w:suppressAutoHyphens/>
        <w:spacing w:line="360" w:lineRule="auto"/>
        <w:ind w:firstLine="567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Table</w:t>
      </w:r>
      <w:r w:rsidRPr="0046210B">
        <w:rPr>
          <w:color w:val="000000"/>
          <w:sz w:val="28"/>
          <w:szCs w:val="28"/>
          <w:lang w:val="en-US"/>
        </w:rPr>
        <w:t xml:space="preserve"> 3</w:t>
      </w:r>
    </w:p>
    <w:p w:rsidR="00DD4EE4" w:rsidRPr="0046210B" w:rsidRDefault="00DD4EE4" w:rsidP="00DD4EE4">
      <w:pPr>
        <w:pStyle w:val="ab"/>
        <w:suppressAutoHyphens/>
        <w:spacing w:line="360" w:lineRule="auto"/>
        <w:ind w:firstLine="567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Variants of autologous blood reserving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88"/>
        <w:gridCol w:w="2474"/>
        <w:gridCol w:w="2126"/>
      </w:tblGrid>
      <w:tr w:rsidR="00DD4EE4" w:rsidRPr="006B796D" w:rsidTr="00AF273B">
        <w:trPr>
          <w:tblHeader/>
        </w:trPr>
        <w:tc>
          <w:tcPr>
            <w:tcW w:w="4188" w:type="dxa"/>
            <w:vMerge w:val="restart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Group of blood reserving</w:t>
            </w:r>
          </w:p>
        </w:tc>
        <w:tc>
          <w:tcPr>
            <w:tcW w:w="4600" w:type="dxa"/>
            <w:gridSpan w:val="2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Quantity of patients:</w:t>
            </w:r>
          </w:p>
        </w:tc>
      </w:tr>
      <w:tr w:rsidR="00DD4EE4" w:rsidRPr="006B796D" w:rsidTr="00AF273B">
        <w:trPr>
          <w:trHeight w:val="322"/>
          <w:tblHeader/>
        </w:trPr>
        <w:tc>
          <w:tcPr>
            <w:tcW w:w="4188" w:type="dxa"/>
            <w:vMerge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%</w:t>
            </w:r>
          </w:p>
        </w:tc>
      </w:tr>
      <w:tr w:rsidR="00DD4EE4" w:rsidRPr="006B796D" w:rsidTr="00AF273B">
        <w:tc>
          <w:tcPr>
            <w:tcW w:w="4188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A-variant</w:t>
            </w:r>
          </w:p>
        </w:tc>
        <w:tc>
          <w:tcPr>
            <w:tcW w:w="2474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2126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0</w:t>
            </w:r>
          </w:p>
        </w:tc>
      </w:tr>
      <w:tr w:rsidR="00DD4EE4" w:rsidRPr="006B796D" w:rsidTr="00AF273B">
        <w:tc>
          <w:tcPr>
            <w:tcW w:w="4188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A+B-variant</w:t>
            </w:r>
            <w:r w:rsidRPr="00247E6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74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5</w:t>
            </w:r>
          </w:p>
        </w:tc>
      </w:tr>
      <w:tr w:rsidR="00DD4EE4" w:rsidRPr="006B796D" w:rsidTr="00AF273B">
        <w:tc>
          <w:tcPr>
            <w:tcW w:w="4188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34594">
              <w:rPr>
                <w:color w:val="000000"/>
                <w:sz w:val="28"/>
                <w:szCs w:val="28"/>
                <w:lang w:val="en-US"/>
              </w:rPr>
              <w:t>A+C-va</w:t>
            </w:r>
            <w:r>
              <w:rPr>
                <w:color w:val="000000"/>
                <w:sz w:val="28"/>
                <w:szCs w:val="28"/>
                <w:lang w:val="en-US"/>
              </w:rPr>
              <w:t>riant</w:t>
            </w:r>
          </w:p>
        </w:tc>
        <w:tc>
          <w:tcPr>
            <w:tcW w:w="2474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126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3</w:t>
            </w:r>
          </w:p>
        </w:tc>
      </w:tr>
      <w:tr w:rsidR="00DD4EE4" w:rsidRPr="006B796D" w:rsidTr="00AF273B">
        <w:tc>
          <w:tcPr>
            <w:tcW w:w="4188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A+B+C-variant</w:t>
            </w:r>
          </w:p>
        </w:tc>
        <w:tc>
          <w:tcPr>
            <w:tcW w:w="2474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2</w:t>
            </w:r>
          </w:p>
        </w:tc>
      </w:tr>
      <w:tr w:rsidR="00DD4EE4" w:rsidRPr="006B796D" w:rsidTr="00AF273B">
        <w:tc>
          <w:tcPr>
            <w:tcW w:w="4188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C-variant</w:t>
            </w:r>
          </w:p>
        </w:tc>
        <w:tc>
          <w:tcPr>
            <w:tcW w:w="2474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0</w:t>
            </w:r>
          </w:p>
        </w:tc>
      </w:tr>
      <w:tr w:rsidR="00DD4EE4" w:rsidRPr="006B796D" w:rsidTr="00AF273B">
        <w:tc>
          <w:tcPr>
            <w:tcW w:w="4188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B-variant</w:t>
            </w:r>
          </w:p>
        </w:tc>
        <w:tc>
          <w:tcPr>
            <w:tcW w:w="2474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0</w:t>
            </w:r>
          </w:p>
        </w:tc>
      </w:tr>
      <w:tr w:rsidR="00DD4EE4" w:rsidRPr="006B796D" w:rsidTr="00AF273B">
        <w:tc>
          <w:tcPr>
            <w:tcW w:w="4188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B+C-variant</w:t>
            </w:r>
          </w:p>
        </w:tc>
        <w:tc>
          <w:tcPr>
            <w:tcW w:w="2474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0</w:t>
            </w:r>
          </w:p>
        </w:tc>
      </w:tr>
      <w:tr w:rsidR="00DD4EE4" w:rsidRPr="006B796D" w:rsidTr="00AF273B">
        <w:tc>
          <w:tcPr>
            <w:tcW w:w="4188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In all</w:t>
            </w:r>
            <w:r w:rsidRPr="00247E6E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74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2126" w:type="dxa"/>
            <w:vAlign w:val="center"/>
          </w:tcPr>
          <w:p w:rsidR="00DD4EE4" w:rsidRPr="00247E6E" w:rsidRDefault="00DD4EE4" w:rsidP="00AF273B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7E6E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47E6E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DD4EE4" w:rsidRPr="00247E6E" w:rsidRDefault="00DD4EE4" w:rsidP="00DD4EE4">
      <w:pPr>
        <w:suppressAutoHyphens/>
        <w:rPr>
          <w:color w:val="000000"/>
        </w:rPr>
      </w:pPr>
    </w:p>
    <w:p w:rsidR="00DD4EE4" w:rsidRPr="0046210B" w:rsidRDefault="00DD4EE4" w:rsidP="00DD4EE4">
      <w:pPr>
        <w:pStyle w:val="ab"/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According to the data presented in the Table</w:t>
      </w:r>
      <w:r w:rsidRPr="0046210B">
        <w:rPr>
          <w:color w:val="000000"/>
          <w:sz w:val="28"/>
          <w:szCs w:val="28"/>
          <w:lang w:val="en-US"/>
        </w:rPr>
        <w:t xml:space="preserve"> 3</w:t>
      </w:r>
      <w:r>
        <w:rPr>
          <w:color w:val="000000"/>
          <w:sz w:val="28"/>
          <w:szCs w:val="28"/>
          <w:lang w:val="en-US"/>
        </w:rPr>
        <w:t xml:space="preserve">, the most often used </w:t>
      </w:r>
      <w:proofErr w:type="spellStart"/>
      <w:r>
        <w:rPr>
          <w:color w:val="000000"/>
          <w:sz w:val="28"/>
          <w:szCs w:val="28"/>
          <w:lang w:val="en-US"/>
        </w:rPr>
        <w:t>exfusion</w:t>
      </w:r>
      <w:proofErr w:type="spellEnd"/>
      <w:r>
        <w:rPr>
          <w:color w:val="000000"/>
          <w:sz w:val="28"/>
          <w:szCs w:val="28"/>
          <w:lang w:val="en-US"/>
        </w:rPr>
        <w:t xml:space="preserve"> approach carried  out both separately (in </w:t>
      </w:r>
      <w:r w:rsidRPr="0046210B">
        <w:rPr>
          <w:color w:val="000000"/>
          <w:spacing w:val="-2"/>
          <w:sz w:val="28"/>
          <w:szCs w:val="28"/>
          <w:lang w:val="en-US"/>
        </w:rPr>
        <w:t>104</w:t>
      </w:r>
      <w:r>
        <w:rPr>
          <w:color w:val="000000"/>
          <w:spacing w:val="-2"/>
          <w:sz w:val="28"/>
          <w:szCs w:val="28"/>
          <w:lang w:val="en-US"/>
        </w:rPr>
        <w:t xml:space="preserve"> patients,</w:t>
      </w:r>
      <w:r w:rsidRPr="0046210B">
        <w:rPr>
          <w:color w:val="000000"/>
          <w:spacing w:val="-2"/>
          <w:sz w:val="28"/>
          <w:szCs w:val="28"/>
          <w:lang w:val="en-US"/>
        </w:rPr>
        <w:t xml:space="preserve"> 46</w:t>
      </w:r>
      <w:r>
        <w:rPr>
          <w:color w:val="000000"/>
          <w:spacing w:val="-2"/>
          <w:sz w:val="28"/>
          <w:szCs w:val="28"/>
          <w:lang w:val="en-US"/>
        </w:rPr>
        <w:t>.</w:t>
      </w:r>
      <w:r w:rsidRPr="0046210B">
        <w:rPr>
          <w:color w:val="000000"/>
          <w:spacing w:val="-2"/>
          <w:sz w:val="28"/>
          <w:szCs w:val="28"/>
          <w:lang w:val="en-US"/>
        </w:rPr>
        <w:t xml:space="preserve">0 %) </w:t>
      </w:r>
      <w:r>
        <w:rPr>
          <w:color w:val="000000"/>
          <w:spacing w:val="-2"/>
          <w:sz w:val="28"/>
          <w:szCs w:val="28"/>
          <w:lang w:val="en-US"/>
        </w:rPr>
        <w:t xml:space="preserve">and in combination with other </w:t>
      </w:r>
      <w:proofErr w:type="spellStart"/>
      <w:r>
        <w:rPr>
          <w:color w:val="000000"/>
          <w:spacing w:val="-2"/>
          <w:sz w:val="28"/>
          <w:szCs w:val="28"/>
          <w:lang w:val="en-US"/>
        </w:rPr>
        <w:t>exfusion</w:t>
      </w:r>
      <w:proofErr w:type="spellEnd"/>
      <w:r>
        <w:rPr>
          <w:color w:val="000000"/>
          <w:spacing w:val="-2"/>
          <w:sz w:val="28"/>
          <w:szCs w:val="28"/>
          <w:lang w:val="en-US"/>
        </w:rPr>
        <w:t xml:space="preserve"> methods (in </w:t>
      </w:r>
      <w:r w:rsidRPr="0046210B">
        <w:rPr>
          <w:color w:val="000000"/>
          <w:spacing w:val="1"/>
          <w:sz w:val="28"/>
          <w:szCs w:val="28"/>
          <w:lang w:val="en-US"/>
        </w:rPr>
        <w:t>195</w:t>
      </w:r>
      <w:r>
        <w:rPr>
          <w:color w:val="000000"/>
          <w:spacing w:val="1"/>
          <w:sz w:val="28"/>
          <w:szCs w:val="28"/>
          <w:lang w:val="en-US"/>
        </w:rPr>
        <w:t xml:space="preserve">  patients,</w:t>
      </w:r>
      <w:r w:rsidRPr="0046210B">
        <w:rPr>
          <w:color w:val="000000"/>
          <w:spacing w:val="1"/>
          <w:sz w:val="28"/>
          <w:szCs w:val="28"/>
          <w:lang w:val="en-US"/>
        </w:rPr>
        <w:t xml:space="preserve"> 86</w:t>
      </w:r>
      <w:r>
        <w:rPr>
          <w:color w:val="000000"/>
          <w:spacing w:val="1"/>
          <w:sz w:val="28"/>
          <w:szCs w:val="28"/>
          <w:lang w:val="en-US"/>
        </w:rPr>
        <w:t>.</w:t>
      </w:r>
      <w:r w:rsidRPr="0046210B">
        <w:rPr>
          <w:color w:val="000000"/>
          <w:spacing w:val="1"/>
          <w:sz w:val="28"/>
          <w:szCs w:val="28"/>
          <w:lang w:val="en-US"/>
        </w:rPr>
        <w:t xml:space="preserve">0 %) </w:t>
      </w:r>
      <w:r>
        <w:rPr>
          <w:color w:val="000000"/>
          <w:spacing w:val="1"/>
          <w:sz w:val="28"/>
          <w:szCs w:val="28"/>
          <w:lang w:val="en-US"/>
        </w:rPr>
        <w:t>was the A-variant</w:t>
      </w:r>
      <w:r w:rsidRPr="0046210B">
        <w:rPr>
          <w:color w:val="000000"/>
          <w:spacing w:val="1"/>
          <w:sz w:val="28"/>
          <w:szCs w:val="28"/>
          <w:lang w:val="en-US"/>
        </w:rPr>
        <w:t xml:space="preserve">. </w:t>
      </w:r>
      <w:r>
        <w:rPr>
          <w:color w:val="000000"/>
          <w:spacing w:val="1"/>
          <w:sz w:val="28"/>
          <w:szCs w:val="28"/>
          <w:lang w:val="en-US"/>
        </w:rPr>
        <w:t xml:space="preserve">The B-variant was used separately in </w:t>
      </w:r>
      <w:r w:rsidRPr="0046210B">
        <w:rPr>
          <w:color w:val="000000"/>
          <w:spacing w:val="1"/>
          <w:sz w:val="28"/>
          <w:szCs w:val="28"/>
          <w:lang w:val="en-US"/>
        </w:rPr>
        <w:t xml:space="preserve">24 </w:t>
      </w:r>
      <w:r>
        <w:rPr>
          <w:color w:val="000000"/>
          <w:spacing w:val="1"/>
          <w:sz w:val="28"/>
          <w:szCs w:val="28"/>
          <w:lang w:val="en-US"/>
        </w:rPr>
        <w:t xml:space="preserve">cases </w:t>
      </w:r>
      <w:r w:rsidRPr="0046210B">
        <w:rPr>
          <w:color w:val="000000"/>
          <w:spacing w:val="1"/>
          <w:sz w:val="28"/>
          <w:szCs w:val="28"/>
          <w:lang w:val="en-US"/>
        </w:rPr>
        <w:t>(11</w:t>
      </w:r>
      <w:r>
        <w:rPr>
          <w:color w:val="000000"/>
          <w:spacing w:val="1"/>
          <w:sz w:val="28"/>
          <w:szCs w:val="28"/>
          <w:lang w:val="en-US"/>
        </w:rPr>
        <w:t>.</w:t>
      </w:r>
      <w:r w:rsidRPr="0046210B">
        <w:rPr>
          <w:color w:val="000000"/>
          <w:spacing w:val="1"/>
          <w:sz w:val="28"/>
          <w:szCs w:val="28"/>
          <w:lang w:val="en-US"/>
        </w:rPr>
        <w:t>0 %).</w:t>
      </w:r>
      <w:r w:rsidRPr="0046210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Separated use of B- and B+C-variants of blood reservation was rare</w:t>
      </w:r>
      <w:r w:rsidRPr="0046210B">
        <w:rPr>
          <w:color w:val="000000"/>
          <w:sz w:val="28"/>
          <w:szCs w:val="28"/>
          <w:lang w:val="en-US"/>
        </w:rPr>
        <w:t>.</w:t>
      </w:r>
    </w:p>
    <w:p w:rsidR="00DD4EE4" w:rsidRPr="0046210B" w:rsidRDefault="00DD4EE4" w:rsidP="00DD4EE4">
      <w:pPr>
        <w:pStyle w:val="a9"/>
        <w:suppressAutoHyphens/>
        <w:spacing w:line="360" w:lineRule="auto"/>
        <w:ind w:right="-2" w:firstLine="567"/>
        <w:jc w:val="both"/>
        <w:rPr>
          <w:snapToGrid w:val="0"/>
          <w:lang w:val="en-US"/>
        </w:rPr>
      </w:pPr>
      <w:r>
        <w:rPr>
          <w:b w:val="0"/>
          <w:bCs/>
          <w:snapToGrid w:val="0"/>
          <w:lang w:val="en-US"/>
        </w:rPr>
        <w:t>All the operations were carried out using the CPB and moderate hypothermic conditions</w:t>
      </w:r>
      <w:r w:rsidRPr="0046210B">
        <w:rPr>
          <w:b w:val="0"/>
          <w:bCs/>
          <w:snapToGrid w:val="0"/>
          <w:lang w:val="en-US"/>
        </w:rPr>
        <w:t xml:space="preserve"> (32–35 </w:t>
      </w:r>
      <w:r w:rsidRPr="0046210B">
        <w:rPr>
          <w:b w:val="0"/>
          <w:bCs/>
          <w:lang w:val="en-US"/>
        </w:rPr>
        <w:t>º</w:t>
      </w:r>
      <w:r w:rsidRPr="003B449D">
        <w:rPr>
          <w:b w:val="0"/>
          <w:bCs/>
        </w:rPr>
        <w:t>С</w:t>
      </w:r>
      <w:r w:rsidRPr="0046210B">
        <w:rPr>
          <w:b w:val="0"/>
          <w:bCs/>
          <w:snapToGrid w:val="0"/>
          <w:lang w:val="en-US"/>
        </w:rPr>
        <w:t xml:space="preserve">). </w:t>
      </w:r>
      <w:r>
        <w:rPr>
          <w:b w:val="0"/>
          <w:bCs/>
          <w:snapToGrid w:val="0"/>
          <w:lang w:val="en-US"/>
        </w:rPr>
        <w:t>The myocardium protection was realized using a modified crystalloid St.</w:t>
      </w:r>
      <w:r w:rsidRPr="0046210B">
        <w:rPr>
          <w:b w:val="0"/>
          <w:bCs/>
          <w:snapToGrid w:val="0"/>
          <w:lang w:val="en-US"/>
        </w:rPr>
        <w:t xml:space="preserve"> </w:t>
      </w:r>
      <w:r>
        <w:rPr>
          <w:b w:val="0"/>
          <w:bCs/>
          <w:snapToGrid w:val="0"/>
          <w:lang w:val="en-US"/>
        </w:rPr>
        <w:t>Thomas solution supplemented with autologous blood (</w:t>
      </w:r>
      <w:r w:rsidRPr="0046210B">
        <w:rPr>
          <w:b w:val="0"/>
          <w:bCs/>
          <w:color w:val="000000"/>
          <w:lang w:val="en-US"/>
        </w:rPr>
        <w:t>22</w:t>
      </w:r>
      <w:r>
        <w:rPr>
          <w:b w:val="0"/>
          <w:bCs/>
          <w:color w:val="000000"/>
          <w:lang w:val="en-US"/>
        </w:rPr>
        <w:t>.</w:t>
      </w:r>
      <w:r w:rsidRPr="0046210B">
        <w:rPr>
          <w:b w:val="0"/>
          <w:bCs/>
          <w:color w:val="000000"/>
          <w:lang w:val="en-US"/>
        </w:rPr>
        <w:t>0%</w:t>
      </w:r>
      <w:r>
        <w:rPr>
          <w:b w:val="0"/>
          <w:bCs/>
          <w:color w:val="000000"/>
          <w:lang w:val="en-US"/>
        </w:rPr>
        <w:t>).</w:t>
      </w:r>
      <w:r w:rsidRPr="0046210B">
        <w:rPr>
          <w:b w:val="0"/>
          <w:bCs/>
          <w:color w:val="000000"/>
          <w:lang w:val="en-US"/>
        </w:rPr>
        <w:t xml:space="preserve"> </w:t>
      </w:r>
      <w:r>
        <w:rPr>
          <w:b w:val="0"/>
          <w:bCs/>
          <w:color w:val="000000"/>
          <w:lang w:val="en-US"/>
        </w:rPr>
        <w:t xml:space="preserve">The </w:t>
      </w:r>
      <w:proofErr w:type="spellStart"/>
      <w:r>
        <w:rPr>
          <w:b w:val="0"/>
          <w:bCs/>
          <w:color w:val="000000"/>
          <w:lang w:val="en-US"/>
        </w:rPr>
        <w:t>cardioplegia</w:t>
      </w:r>
      <w:proofErr w:type="spellEnd"/>
      <w:r>
        <w:rPr>
          <w:b w:val="0"/>
          <w:bCs/>
          <w:color w:val="000000"/>
          <w:lang w:val="en-US"/>
        </w:rPr>
        <w:t xml:space="preserve"> was usually carried out by retrograde introduction of </w:t>
      </w:r>
      <w:proofErr w:type="spellStart"/>
      <w:r>
        <w:rPr>
          <w:b w:val="0"/>
          <w:bCs/>
          <w:color w:val="000000"/>
          <w:lang w:val="en-US"/>
        </w:rPr>
        <w:t>cardioplegia</w:t>
      </w:r>
      <w:proofErr w:type="spellEnd"/>
      <w:r>
        <w:rPr>
          <w:b w:val="0"/>
          <w:bCs/>
          <w:color w:val="000000"/>
          <w:lang w:val="en-US"/>
        </w:rPr>
        <w:t>-causing solution in combination with external heart cooling</w:t>
      </w:r>
      <w:r w:rsidRPr="0046210B">
        <w:rPr>
          <w:snapToGrid w:val="0"/>
          <w:lang w:val="en-US"/>
        </w:rPr>
        <w:t xml:space="preserve">. </w:t>
      </w:r>
    </w:p>
    <w:p w:rsidR="00DD4EE4" w:rsidRPr="0046210B" w:rsidRDefault="00DD4EE4" w:rsidP="00DD4EE4">
      <w:pPr>
        <w:pStyle w:val="a9"/>
        <w:suppressAutoHyphens/>
        <w:spacing w:line="360" w:lineRule="auto"/>
        <w:ind w:right="-2" w:firstLine="567"/>
        <w:jc w:val="both"/>
        <w:rPr>
          <w:b w:val="0"/>
          <w:bCs/>
          <w:color w:val="000000"/>
          <w:lang w:val="en-US"/>
        </w:rPr>
      </w:pPr>
      <w:r>
        <w:rPr>
          <w:b w:val="0"/>
          <w:bCs/>
          <w:color w:val="000000"/>
          <w:lang w:val="en-US"/>
        </w:rPr>
        <w:t>During the CPB, the following parameters were monitored: anticoagulation, gas blood content (GBC</w:t>
      </w:r>
      <w:r w:rsidRPr="001262A1">
        <w:rPr>
          <w:b w:val="0"/>
          <w:bCs/>
          <w:color w:val="000000"/>
          <w:lang w:val="en-US"/>
        </w:rPr>
        <w:t>)</w:t>
      </w:r>
      <w:r w:rsidRPr="0046210B">
        <w:rPr>
          <w:b w:val="0"/>
          <w:bCs/>
          <w:color w:val="000000"/>
          <w:lang w:val="en-US"/>
        </w:rPr>
        <w:t>,</w:t>
      </w:r>
      <w:r>
        <w:rPr>
          <w:b w:val="0"/>
          <w:bCs/>
          <w:color w:val="000000"/>
          <w:lang w:val="en-US"/>
        </w:rPr>
        <w:t xml:space="preserve"> </w:t>
      </w:r>
      <w:r w:rsidRPr="00B55350">
        <w:rPr>
          <w:b w:val="0"/>
          <w:bCs/>
          <w:color w:val="000000"/>
          <w:lang w:val="en-US"/>
        </w:rPr>
        <w:t>ABB</w:t>
      </w:r>
      <w:r w:rsidRPr="0046210B">
        <w:rPr>
          <w:color w:val="000000"/>
          <w:lang w:val="en-US"/>
        </w:rPr>
        <w:t xml:space="preserve"> </w:t>
      </w:r>
      <w:r w:rsidRPr="0046210B">
        <w:rPr>
          <w:b w:val="0"/>
          <w:bCs/>
          <w:color w:val="000000"/>
          <w:lang w:val="en-US"/>
        </w:rPr>
        <w:t>(</w:t>
      </w:r>
      <w:proofErr w:type="spellStart"/>
      <w:r w:rsidRPr="00247E6E">
        <w:rPr>
          <w:b w:val="0"/>
          <w:bCs/>
          <w:color w:val="000000"/>
        </w:rPr>
        <w:t>РаО</w:t>
      </w:r>
      <w:proofErr w:type="spellEnd"/>
      <w:r w:rsidRPr="0046210B">
        <w:rPr>
          <w:b w:val="0"/>
          <w:bCs/>
          <w:color w:val="000000"/>
          <w:vertAlign w:val="subscript"/>
          <w:lang w:val="en-US"/>
        </w:rPr>
        <w:t>2</w:t>
      </w:r>
      <w:r>
        <w:rPr>
          <w:b w:val="0"/>
          <w:bCs/>
          <w:color w:val="000000"/>
          <w:lang w:val="en-US"/>
        </w:rPr>
        <w:t xml:space="preserve">: </w:t>
      </w:r>
      <w:r w:rsidRPr="0046210B">
        <w:rPr>
          <w:b w:val="0"/>
          <w:bCs/>
          <w:color w:val="000000"/>
          <w:lang w:val="en-US"/>
        </w:rPr>
        <w:t>100-300</w:t>
      </w:r>
      <w:r w:rsidRPr="00247E6E">
        <w:rPr>
          <w:b w:val="0"/>
          <w:bCs/>
          <w:color w:val="000000"/>
          <w:lang w:val="uk-UA"/>
        </w:rPr>
        <w:t xml:space="preserve"> </w:t>
      </w:r>
      <w:r>
        <w:rPr>
          <w:b w:val="0"/>
          <w:bCs/>
          <w:color w:val="000000"/>
          <w:lang w:val="en-US"/>
        </w:rPr>
        <w:t>mm Hg</w:t>
      </w:r>
      <w:r w:rsidRPr="0046210B">
        <w:rPr>
          <w:b w:val="0"/>
          <w:bCs/>
          <w:color w:val="000000"/>
          <w:lang w:val="en-US"/>
        </w:rPr>
        <w:t>), S</w:t>
      </w:r>
      <w:r w:rsidRPr="001262A1">
        <w:rPr>
          <w:b w:val="0"/>
          <w:bCs/>
          <w:color w:val="000000"/>
        </w:rPr>
        <w:t>О</w:t>
      </w:r>
      <w:r w:rsidRPr="0046210B">
        <w:rPr>
          <w:b w:val="0"/>
          <w:bCs/>
          <w:color w:val="000000"/>
          <w:vertAlign w:val="subscript"/>
          <w:lang w:val="en-US"/>
        </w:rPr>
        <w:t>2</w:t>
      </w:r>
      <w:r>
        <w:rPr>
          <w:b w:val="0"/>
          <w:bCs/>
          <w:color w:val="000000"/>
          <w:vertAlign w:val="subscript"/>
          <w:lang w:val="en-US"/>
        </w:rPr>
        <w:t xml:space="preserve"> </w:t>
      </w:r>
      <w:r>
        <w:rPr>
          <w:b w:val="0"/>
          <w:bCs/>
          <w:color w:val="000000"/>
          <w:lang w:val="en-US"/>
        </w:rPr>
        <w:t>(level of oxygen blood saturation),</w:t>
      </w:r>
      <w:r w:rsidRPr="0046210B">
        <w:rPr>
          <w:b w:val="0"/>
          <w:bCs/>
          <w:color w:val="000000"/>
          <w:lang w:val="en-US"/>
        </w:rPr>
        <w:t xml:space="preserve"> </w:t>
      </w:r>
      <w:r>
        <w:rPr>
          <w:b w:val="0"/>
          <w:bCs/>
          <w:color w:val="000000"/>
          <w:lang w:val="en-US"/>
        </w:rPr>
        <w:t>hematocrit, electrolyte level in the blood plasma</w:t>
      </w:r>
      <w:r w:rsidRPr="0046210B">
        <w:rPr>
          <w:b w:val="0"/>
          <w:bCs/>
          <w:color w:val="000000"/>
          <w:lang w:val="en-US"/>
        </w:rPr>
        <w:t xml:space="preserve">, </w:t>
      </w:r>
      <w:r>
        <w:rPr>
          <w:b w:val="0"/>
          <w:bCs/>
          <w:color w:val="000000"/>
          <w:lang w:val="en-US"/>
        </w:rPr>
        <w:t>blood glucose, lactate, hemoglobin, and protein content, depth of anesthesia</w:t>
      </w:r>
      <w:r w:rsidRPr="0046210B">
        <w:rPr>
          <w:b w:val="0"/>
          <w:bCs/>
          <w:color w:val="000000"/>
          <w:lang w:val="en-US"/>
        </w:rPr>
        <w:t xml:space="preserve">, </w:t>
      </w:r>
      <w:r>
        <w:rPr>
          <w:b w:val="0"/>
          <w:bCs/>
          <w:color w:val="000000"/>
          <w:lang w:val="en-US"/>
        </w:rPr>
        <w:t>diuresis</w:t>
      </w:r>
      <w:r w:rsidRPr="0046210B">
        <w:rPr>
          <w:b w:val="0"/>
          <w:bCs/>
          <w:color w:val="000000"/>
          <w:lang w:val="en-US"/>
        </w:rPr>
        <w:t xml:space="preserve"> (200 </w:t>
      </w:r>
      <w:r>
        <w:rPr>
          <w:b w:val="0"/>
          <w:bCs/>
          <w:color w:val="000000"/>
          <w:lang w:val="en-US"/>
        </w:rPr>
        <w:t>ml</w:t>
      </w:r>
      <w:r w:rsidRPr="0046210B">
        <w:rPr>
          <w:b w:val="0"/>
          <w:bCs/>
          <w:color w:val="000000"/>
          <w:lang w:val="en-US"/>
        </w:rPr>
        <w:t>/</w:t>
      </w:r>
      <w:r>
        <w:rPr>
          <w:b w:val="0"/>
          <w:bCs/>
          <w:color w:val="000000"/>
          <w:lang w:val="en-US"/>
        </w:rPr>
        <w:t>h</w:t>
      </w:r>
      <w:r w:rsidRPr="0046210B">
        <w:rPr>
          <w:b w:val="0"/>
          <w:bCs/>
          <w:color w:val="000000"/>
          <w:lang w:val="en-US"/>
        </w:rPr>
        <w:t xml:space="preserve">) </w:t>
      </w:r>
      <w:r>
        <w:rPr>
          <w:b w:val="0"/>
          <w:bCs/>
          <w:color w:val="000000"/>
          <w:lang w:val="en-US"/>
        </w:rPr>
        <w:t xml:space="preserve">during the </w:t>
      </w:r>
      <w:proofErr w:type="spellStart"/>
      <w:r>
        <w:rPr>
          <w:b w:val="0"/>
          <w:bCs/>
          <w:color w:val="000000"/>
          <w:lang w:val="en-US"/>
        </w:rPr>
        <w:t>hemodilution</w:t>
      </w:r>
      <w:proofErr w:type="spellEnd"/>
      <w:r w:rsidRPr="0046210B">
        <w:rPr>
          <w:b w:val="0"/>
          <w:bCs/>
          <w:color w:val="000000"/>
          <w:lang w:val="en-US"/>
        </w:rPr>
        <w:t xml:space="preserve">, </w:t>
      </w:r>
      <w:r>
        <w:rPr>
          <w:b w:val="0"/>
          <w:bCs/>
          <w:color w:val="000000"/>
          <w:lang w:val="en-US"/>
        </w:rPr>
        <w:t>temperature</w:t>
      </w:r>
      <w:r w:rsidRPr="0046210B">
        <w:rPr>
          <w:b w:val="0"/>
          <w:bCs/>
          <w:color w:val="000000"/>
          <w:lang w:val="en-US"/>
        </w:rPr>
        <w:t xml:space="preserve">, </w:t>
      </w:r>
      <w:r>
        <w:rPr>
          <w:b w:val="0"/>
          <w:bCs/>
          <w:color w:val="000000"/>
          <w:lang w:val="en-US"/>
        </w:rPr>
        <w:t>central venous pressure (CVP)</w:t>
      </w:r>
      <w:r w:rsidRPr="0046210B">
        <w:rPr>
          <w:b w:val="0"/>
          <w:bCs/>
          <w:color w:val="000000"/>
          <w:lang w:val="en-US"/>
        </w:rPr>
        <w:t xml:space="preserve"> (</w:t>
      </w:r>
      <w:r>
        <w:rPr>
          <w:b w:val="0"/>
          <w:bCs/>
          <w:color w:val="000000"/>
          <w:lang w:val="en-US"/>
        </w:rPr>
        <w:t>negative</w:t>
      </w:r>
      <w:r w:rsidRPr="0046210B">
        <w:rPr>
          <w:b w:val="0"/>
          <w:bCs/>
          <w:color w:val="000000"/>
          <w:lang w:val="en-US"/>
        </w:rPr>
        <w:t>),</w:t>
      </w:r>
      <w:r>
        <w:rPr>
          <w:b w:val="0"/>
          <w:bCs/>
          <w:color w:val="000000"/>
          <w:lang w:val="en-US"/>
        </w:rPr>
        <w:t xml:space="preserve"> arterial pressure (</w:t>
      </w:r>
      <w:proofErr w:type="spellStart"/>
      <w:r>
        <w:rPr>
          <w:b w:val="0"/>
          <w:bCs/>
          <w:color w:val="000000"/>
          <w:lang w:val="en-US"/>
        </w:rPr>
        <w:t>AP</w:t>
      </w:r>
      <w:r w:rsidRPr="001262A1">
        <w:rPr>
          <w:b w:val="0"/>
          <w:bCs/>
          <w:color w:val="000000"/>
          <w:vertAlign w:val="subscript"/>
          <w:lang w:val="en-US"/>
        </w:rPr>
        <w:t>mean</w:t>
      </w:r>
      <w:proofErr w:type="spellEnd"/>
      <w:r>
        <w:rPr>
          <w:b w:val="0"/>
          <w:bCs/>
          <w:color w:val="000000"/>
          <w:lang w:val="en-US"/>
        </w:rPr>
        <w:t>)</w:t>
      </w:r>
      <w:r w:rsidRPr="0046210B">
        <w:rPr>
          <w:b w:val="0"/>
          <w:bCs/>
          <w:color w:val="000000"/>
          <w:lang w:val="en-US"/>
        </w:rPr>
        <w:t xml:space="preserve"> (50-90</w:t>
      </w:r>
      <w:r w:rsidRPr="00247E6E">
        <w:rPr>
          <w:b w:val="0"/>
          <w:bCs/>
          <w:color w:val="000000"/>
          <w:lang w:val="uk-UA"/>
        </w:rPr>
        <w:t xml:space="preserve"> </w:t>
      </w:r>
      <w:r>
        <w:rPr>
          <w:b w:val="0"/>
          <w:bCs/>
          <w:color w:val="000000"/>
          <w:lang w:val="en-US"/>
        </w:rPr>
        <w:t>mm Hg</w:t>
      </w:r>
      <w:r w:rsidRPr="0046210B">
        <w:rPr>
          <w:b w:val="0"/>
          <w:bCs/>
          <w:color w:val="000000"/>
          <w:lang w:val="en-US"/>
        </w:rPr>
        <w:t>)</w:t>
      </w:r>
      <w:r>
        <w:rPr>
          <w:b w:val="0"/>
          <w:bCs/>
          <w:color w:val="000000"/>
          <w:lang w:val="en-US"/>
        </w:rPr>
        <w:t>.</w:t>
      </w:r>
      <w:r w:rsidRPr="0046210B">
        <w:rPr>
          <w:b w:val="0"/>
          <w:bCs/>
          <w:color w:val="000000"/>
          <w:lang w:val="en-US"/>
        </w:rPr>
        <w:t xml:space="preserve"> </w:t>
      </w:r>
    </w:p>
    <w:p w:rsidR="00DD4EE4" w:rsidRPr="0046210B" w:rsidRDefault="00DD4EE4" w:rsidP="00DD4EE4">
      <w:pPr>
        <w:spacing w:line="360" w:lineRule="auto"/>
        <w:ind w:firstLine="709"/>
        <w:jc w:val="both"/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  <w:lang w:val="en-US"/>
        </w:rPr>
        <w:t xml:space="preserve">After completing of the MVD correction and CPB arrest, the remainder from the reservoir was returned to the patient; the CBV was filled up under the strict hemodynamics control to avoid the heart over-loading. As a rule, </w:t>
      </w:r>
      <w:proofErr w:type="spellStart"/>
      <w:r>
        <w:rPr>
          <w:snapToGrid w:val="0"/>
          <w:sz w:val="28"/>
          <w:szCs w:val="28"/>
          <w:lang w:val="en-US"/>
        </w:rPr>
        <w:t>isoket</w:t>
      </w:r>
      <w:proofErr w:type="spellEnd"/>
      <w:r>
        <w:rPr>
          <w:snapToGrid w:val="0"/>
          <w:sz w:val="28"/>
          <w:szCs w:val="28"/>
          <w:lang w:val="en-US"/>
        </w:rPr>
        <w:t xml:space="preserve"> </w:t>
      </w:r>
      <w:proofErr w:type="gramStart"/>
      <w:r>
        <w:rPr>
          <w:snapToGrid w:val="0"/>
          <w:sz w:val="28"/>
          <w:szCs w:val="28"/>
          <w:lang w:val="en-US"/>
        </w:rPr>
        <w:t xml:space="preserve">(0.5 </w:t>
      </w:r>
      <w:proofErr w:type="spellStart"/>
      <w:r>
        <w:rPr>
          <w:snapToGrid w:val="0"/>
          <w:sz w:val="28"/>
          <w:szCs w:val="28"/>
          <w:lang w:val="en-US"/>
        </w:rPr>
        <w:t>μg</w:t>
      </w:r>
      <w:proofErr w:type="spellEnd"/>
      <w:r>
        <w:rPr>
          <w:snapToGrid w:val="0"/>
          <w:sz w:val="28"/>
          <w:szCs w:val="28"/>
          <w:lang w:val="en-US"/>
        </w:rPr>
        <w:t>/kg/min)</w:t>
      </w:r>
      <w:proofErr w:type="gramEnd"/>
      <w:r>
        <w:rPr>
          <w:snapToGrid w:val="0"/>
          <w:sz w:val="28"/>
          <w:szCs w:val="28"/>
          <w:lang w:val="en-US"/>
        </w:rPr>
        <w:t xml:space="preserve"> was used at this stage to compensate maximally the </w:t>
      </w:r>
      <w:proofErr w:type="spellStart"/>
      <w:r>
        <w:rPr>
          <w:snapToGrid w:val="0"/>
          <w:sz w:val="28"/>
          <w:szCs w:val="28"/>
          <w:lang w:val="en-US"/>
        </w:rPr>
        <w:t>perfusate</w:t>
      </w:r>
      <w:proofErr w:type="spellEnd"/>
      <w:r>
        <w:rPr>
          <w:snapToGrid w:val="0"/>
          <w:sz w:val="28"/>
          <w:szCs w:val="28"/>
          <w:lang w:val="en-US"/>
        </w:rPr>
        <w:t xml:space="preserve"> for the patient from the oxygenator through the arterial main line. If it was not possible to realize such a procedure, the rest of the </w:t>
      </w:r>
      <w:proofErr w:type="spellStart"/>
      <w:r>
        <w:rPr>
          <w:snapToGrid w:val="0"/>
          <w:sz w:val="28"/>
          <w:szCs w:val="28"/>
          <w:lang w:val="en-US"/>
        </w:rPr>
        <w:t>perfusate</w:t>
      </w:r>
      <w:proofErr w:type="spellEnd"/>
      <w:r>
        <w:rPr>
          <w:snapToGrid w:val="0"/>
          <w:sz w:val="28"/>
          <w:szCs w:val="28"/>
          <w:lang w:val="en-US"/>
        </w:rPr>
        <w:t xml:space="preserve"> from oxygenator was collected into vials and injected to the patient intravenously</w:t>
      </w:r>
      <w:r w:rsidRPr="0046210B">
        <w:rPr>
          <w:snapToGrid w:val="0"/>
          <w:sz w:val="28"/>
          <w:szCs w:val="28"/>
          <w:lang w:val="en-US"/>
        </w:rPr>
        <w:t xml:space="preserve">. </w:t>
      </w:r>
      <w:r>
        <w:rPr>
          <w:snapToGrid w:val="0"/>
          <w:sz w:val="28"/>
          <w:szCs w:val="28"/>
          <w:lang w:val="en-US"/>
        </w:rPr>
        <w:t xml:space="preserve">Thus, the irrevocable blood loss on this stage </w:t>
      </w:r>
      <w:r w:rsidRPr="0046210B">
        <w:rPr>
          <w:snapToGrid w:val="0"/>
          <w:sz w:val="28"/>
          <w:szCs w:val="28"/>
          <w:lang w:val="en-US"/>
        </w:rPr>
        <w:t>(</w:t>
      </w:r>
      <w:r>
        <w:rPr>
          <w:snapToGrid w:val="0"/>
          <w:sz w:val="28"/>
          <w:szCs w:val="28"/>
          <w:lang w:val="en-US"/>
        </w:rPr>
        <w:t xml:space="preserve">the </w:t>
      </w:r>
      <w:proofErr w:type="spellStart"/>
      <w:r>
        <w:rPr>
          <w:snapToGrid w:val="0"/>
          <w:sz w:val="28"/>
          <w:szCs w:val="28"/>
          <w:lang w:val="en-US"/>
        </w:rPr>
        <w:t>perfusate</w:t>
      </w:r>
      <w:proofErr w:type="spellEnd"/>
      <w:r>
        <w:rPr>
          <w:snapToGrid w:val="0"/>
          <w:sz w:val="28"/>
          <w:szCs w:val="28"/>
          <w:lang w:val="en-US"/>
        </w:rPr>
        <w:t xml:space="preserve"> remainder in the reservoir</w:t>
      </w:r>
      <w:r w:rsidRPr="0046210B">
        <w:rPr>
          <w:snapToGrid w:val="0"/>
          <w:sz w:val="28"/>
          <w:szCs w:val="28"/>
          <w:lang w:val="en-US"/>
        </w:rPr>
        <w:t xml:space="preserve">) </w:t>
      </w:r>
      <w:r>
        <w:rPr>
          <w:snapToGrid w:val="0"/>
          <w:sz w:val="28"/>
          <w:szCs w:val="28"/>
          <w:lang w:val="en-US"/>
        </w:rPr>
        <w:t xml:space="preserve">was minimized up to </w:t>
      </w:r>
      <w:r w:rsidRPr="0046210B">
        <w:rPr>
          <w:snapToGrid w:val="0"/>
          <w:sz w:val="28"/>
          <w:szCs w:val="28"/>
          <w:lang w:val="en-US"/>
        </w:rPr>
        <w:t xml:space="preserve">20–25 </w:t>
      </w:r>
      <w:r>
        <w:rPr>
          <w:snapToGrid w:val="0"/>
          <w:sz w:val="28"/>
          <w:szCs w:val="28"/>
          <w:lang w:val="en-US"/>
        </w:rPr>
        <w:t>ml</w:t>
      </w:r>
      <w:r w:rsidRPr="0046210B">
        <w:rPr>
          <w:snapToGrid w:val="0"/>
          <w:sz w:val="28"/>
          <w:szCs w:val="28"/>
          <w:lang w:val="en-US"/>
        </w:rPr>
        <w:t xml:space="preserve">. </w:t>
      </w:r>
      <w:r>
        <w:rPr>
          <w:snapToGrid w:val="0"/>
          <w:sz w:val="28"/>
          <w:szCs w:val="28"/>
          <w:lang w:val="en-US"/>
        </w:rPr>
        <w:t>The careful surgical homeostasis was maintained at any operation stage</w:t>
      </w:r>
      <w:r w:rsidRPr="0046210B">
        <w:rPr>
          <w:snapToGrid w:val="0"/>
          <w:sz w:val="28"/>
          <w:szCs w:val="28"/>
          <w:lang w:val="en-US"/>
        </w:rPr>
        <w:t>.</w:t>
      </w:r>
    </w:p>
    <w:p w:rsidR="00DD4EE4" w:rsidRPr="0046210B" w:rsidRDefault="00DD4EE4" w:rsidP="00DD4EE4">
      <w:pPr>
        <w:suppressAutoHyphens/>
        <w:spacing w:before="11" w:line="360" w:lineRule="auto"/>
        <w:ind w:left="62" w:right="23" w:firstLine="567"/>
        <w:jc w:val="both"/>
        <w:rPr>
          <w:color w:val="000000"/>
          <w:sz w:val="28"/>
          <w:szCs w:val="28"/>
          <w:lang w:val="en-US"/>
        </w:rPr>
      </w:pPr>
      <w:r w:rsidRPr="0046210B">
        <w:rPr>
          <w:snapToGrid w:val="0"/>
          <w:sz w:val="28"/>
          <w:szCs w:val="28"/>
          <w:lang w:val="en-US"/>
        </w:rPr>
        <w:lastRenderedPageBreak/>
        <w:t xml:space="preserve"> </w:t>
      </w:r>
      <w:r>
        <w:rPr>
          <w:snapToGrid w:val="0"/>
          <w:sz w:val="28"/>
          <w:szCs w:val="28"/>
          <w:lang w:val="en-US"/>
        </w:rPr>
        <w:t xml:space="preserve">The CPB duration was </w:t>
      </w:r>
      <w:r w:rsidRPr="0046210B">
        <w:rPr>
          <w:color w:val="000000"/>
          <w:sz w:val="28"/>
          <w:szCs w:val="28"/>
          <w:lang w:val="en-US"/>
        </w:rPr>
        <w:t xml:space="preserve">86,2±25,4 </w:t>
      </w:r>
      <w:r>
        <w:rPr>
          <w:color w:val="000000"/>
          <w:sz w:val="28"/>
          <w:szCs w:val="28"/>
          <w:lang w:val="en-US"/>
        </w:rPr>
        <w:t xml:space="preserve">min, the time of the aorta clamping being </w:t>
      </w:r>
      <w:r w:rsidRPr="0046210B">
        <w:rPr>
          <w:color w:val="000000"/>
          <w:sz w:val="28"/>
          <w:szCs w:val="28"/>
          <w:lang w:val="en-US"/>
        </w:rPr>
        <w:t>59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>0±17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 xml:space="preserve">4 </w:t>
      </w:r>
      <w:r>
        <w:rPr>
          <w:color w:val="000000"/>
          <w:sz w:val="28"/>
          <w:szCs w:val="28"/>
          <w:lang w:val="en-US"/>
        </w:rPr>
        <w:t xml:space="preserve">min in the main group; the same indices in the control group were </w:t>
      </w:r>
      <w:r w:rsidRPr="0046210B">
        <w:rPr>
          <w:color w:val="000000"/>
          <w:sz w:val="28"/>
          <w:szCs w:val="28"/>
          <w:lang w:val="en-US"/>
        </w:rPr>
        <w:t>96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>±14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 xml:space="preserve">2 </w:t>
      </w:r>
      <w:r>
        <w:rPr>
          <w:color w:val="000000"/>
          <w:sz w:val="28"/>
          <w:szCs w:val="28"/>
          <w:lang w:val="en-US"/>
        </w:rPr>
        <w:t xml:space="preserve">min and </w:t>
      </w:r>
      <w:r w:rsidRPr="0046210B">
        <w:rPr>
          <w:color w:val="000000"/>
          <w:sz w:val="28"/>
          <w:szCs w:val="28"/>
          <w:lang w:val="en-US"/>
        </w:rPr>
        <w:t>15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 xml:space="preserve">2 </w:t>
      </w:r>
      <w:r>
        <w:rPr>
          <w:color w:val="000000"/>
          <w:sz w:val="28"/>
          <w:szCs w:val="28"/>
          <w:lang w:val="en-US"/>
        </w:rPr>
        <w:t>min, respectively</w:t>
      </w:r>
      <w:r w:rsidRPr="0046210B">
        <w:rPr>
          <w:color w:val="000000"/>
          <w:sz w:val="28"/>
          <w:szCs w:val="28"/>
          <w:lang w:val="en-US"/>
        </w:rPr>
        <w:t xml:space="preserve"> (</w:t>
      </w:r>
      <w:r w:rsidRPr="00247E6E">
        <w:rPr>
          <w:color w:val="000000"/>
          <w:sz w:val="28"/>
          <w:szCs w:val="28"/>
          <w:lang w:val="en-US"/>
        </w:rPr>
        <w:t>p</w:t>
      </w:r>
      <w:r w:rsidRPr="0046210B">
        <w:rPr>
          <w:color w:val="000000"/>
          <w:sz w:val="28"/>
          <w:szCs w:val="28"/>
          <w:lang w:val="en-US"/>
        </w:rPr>
        <w:t>&gt;0,05).</w:t>
      </w:r>
    </w:p>
    <w:p w:rsidR="00DD4EE4" w:rsidRPr="0046210B" w:rsidRDefault="00DD4EE4" w:rsidP="00DD4E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One of the main principles of the CPB use is the absence of visible </w:t>
      </w:r>
      <w:proofErr w:type="spellStart"/>
      <w:r>
        <w:rPr>
          <w:sz w:val="28"/>
          <w:szCs w:val="28"/>
          <w:lang w:val="en-US"/>
        </w:rPr>
        <w:t>hemodilution</w:t>
      </w:r>
      <w:proofErr w:type="spellEnd"/>
      <w:r>
        <w:rPr>
          <w:sz w:val="28"/>
          <w:szCs w:val="28"/>
          <w:lang w:val="en-US"/>
        </w:rPr>
        <w:t xml:space="preserve"> at any correction stage. It permits to maintain the water equilibrium </w:t>
      </w:r>
      <w:r w:rsidRPr="005B0F60">
        <w:rPr>
          <w:sz w:val="28"/>
          <w:szCs w:val="28"/>
          <w:lang w:val="en-US"/>
        </w:rPr>
        <w:t>in terms of liq</w:t>
      </w:r>
      <w:r>
        <w:rPr>
          <w:sz w:val="28"/>
          <w:szCs w:val="28"/>
          <w:lang w:val="en-US"/>
        </w:rPr>
        <w:t>uid</w:t>
      </w:r>
      <w:r w:rsidRPr="004621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before the perfusion </w:t>
      </w:r>
      <w:proofErr w:type="gramStart"/>
      <w:r>
        <w:rPr>
          <w:sz w:val="28"/>
          <w:szCs w:val="28"/>
          <w:lang w:val="en-US"/>
        </w:rPr>
        <w:t>beginning  in</w:t>
      </w:r>
      <w:proofErr w:type="gramEnd"/>
      <w:r>
        <w:rPr>
          <w:sz w:val="28"/>
          <w:szCs w:val="28"/>
          <w:lang w:val="en-US"/>
        </w:rPr>
        <w:t xml:space="preserve"> the limits</w:t>
      </w:r>
      <w:r w:rsidRPr="0046210B">
        <w:rPr>
          <w:sz w:val="28"/>
          <w:szCs w:val="28"/>
          <w:lang w:val="en-US"/>
        </w:rPr>
        <w:t xml:space="preserve"> 0+300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 xml:space="preserve"> due only to the  6 % </w:t>
      </w:r>
      <w:proofErr w:type="spellStart"/>
      <w:r>
        <w:rPr>
          <w:sz w:val="28"/>
          <w:szCs w:val="28"/>
          <w:lang w:val="en-US"/>
        </w:rPr>
        <w:t>refortan</w:t>
      </w:r>
      <w:proofErr w:type="spellEnd"/>
      <w:r>
        <w:rPr>
          <w:sz w:val="28"/>
          <w:szCs w:val="28"/>
          <w:lang w:val="en-US"/>
        </w:rPr>
        <w:t xml:space="preserve"> transfusion (about 400 ml as a compensation for the preoperative blood collection</w:t>
      </w:r>
      <w:r w:rsidRPr="0046210B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and reaching almost zero water equilibrium level in the end of operation. It is especially important to minimize the water pre-loading on the pre-perfusion stage</w:t>
      </w:r>
      <w:r w:rsidRPr="0046210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In the </w:t>
      </w:r>
      <w:proofErr w:type="gramStart"/>
      <w:r>
        <w:rPr>
          <w:sz w:val="28"/>
          <w:szCs w:val="28"/>
          <w:lang w:val="en-US"/>
        </w:rPr>
        <w:t>overwhelming  majority</w:t>
      </w:r>
      <w:proofErr w:type="gramEnd"/>
      <w:r>
        <w:rPr>
          <w:sz w:val="28"/>
          <w:szCs w:val="28"/>
          <w:lang w:val="en-US"/>
        </w:rPr>
        <w:t xml:space="preserve"> of cases this aim was reached using the </w:t>
      </w:r>
      <w:proofErr w:type="spellStart"/>
      <w:r>
        <w:rPr>
          <w:sz w:val="28"/>
          <w:szCs w:val="28"/>
          <w:lang w:val="en-US"/>
        </w:rPr>
        <w:t>refortan</w:t>
      </w:r>
      <w:proofErr w:type="spellEnd"/>
      <w:r>
        <w:rPr>
          <w:sz w:val="28"/>
          <w:szCs w:val="28"/>
          <w:lang w:val="en-US"/>
        </w:rPr>
        <w:t xml:space="preserve"> solution</w:t>
      </w:r>
      <w:r w:rsidRPr="004621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 w:rsidRPr="0046210B">
        <w:rPr>
          <w:sz w:val="28"/>
          <w:szCs w:val="28"/>
          <w:lang w:val="en-US"/>
        </w:rPr>
        <w:t>6%</w:t>
      </w:r>
      <w:r>
        <w:rPr>
          <w:sz w:val="28"/>
          <w:szCs w:val="28"/>
          <w:lang w:val="en-US"/>
        </w:rPr>
        <w:t>, 400 ml)</w:t>
      </w:r>
      <w:r w:rsidRPr="0046210B">
        <w:rPr>
          <w:sz w:val="28"/>
          <w:szCs w:val="28"/>
          <w:lang w:val="en-US"/>
        </w:rPr>
        <w:t>.</w:t>
      </w:r>
    </w:p>
    <w:p w:rsidR="00DD4EE4" w:rsidRPr="0046210B" w:rsidRDefault="00DD4EE4" w:rsidP="00DD4E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 the CPB stage and in the end of perfusion the water equilibrium </w:t>
      </w:r>
      <w:r w:rsidRPr="005B0F60">
        <w:rPr>
          <w:sz w:val="28"/>
          <w:szCs w:val="28"/>
          <w:lang w:val="en-US"/>
        </w:rPr>
        <w:t>in terms of liq</w:t>
      </w:r>
      <w:r>
        <w:rPr>
          <w:sz w:val="28"/>
          <w:szCs w:val="28"/>
          <w:lang w:val="en-US"/>
        </w:rPr>
        <w:t xml:space="preserve">uid did not exceed </w:t>
      </w:r>
      <w:r w:rsidRPr="0046210B">
        <w:rPr>
          <w:sz w:val="28"/>
          <w:szCs w:val="28"/>
          <w:lang w:val="en-US"/>
        </w:rPr>
        <w:t>+1500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0 </w:t>
      </w:r>
      <w:r>
        <w:rPr>
          <w:sz w:val="28"/>
          <w:szCs w:val="28"/>
          <w:lang w:val="en-US"/>
        </w:rPr>
        <w:t>ml; in the end of operation this equilibrium reached as a rule the zero level due to the active diuresis</w:t>
      </w:r>
      <w:r w:rsidRPr="0046210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The calculated quantity of the protamine sulfate was introduced. Aiming the homeostasis improving, the </w:t>
      </w:r>
      <w:proofErr w:type="spellStart"/>
      <w:r>
        <w:rPr>
          <w:sz w:val="28"/>
          <w:szCs w:val="28"/>
          <w:lang w:val="en-US"/>
        </w:rPr>
        <w:t>gordox</w:t>
      </w:r>
      <w:proofErr w:type="spellEnd"/>
      <w:r>
        <w:rPr>
          <w:sz w:val="28"/>
          <w:szCs w:val="28"/>
          <w:lang w:val="en-US"/>
        </w:rPr>
        <w:t xml:space="preserve"> was injected in the end of operation</w:t>
      </w:r>
      <w:r w:rsidRPr="004621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 w:rsidRPr="0046210B"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000–30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000 </w:t>
      </w:r>
      <w:r>
        <w:rPr>
          <w:sz w:val="28"/>
          <w:szCs w:val="28"/>
          <w:lang w:val="en-US"/>
        </w:rPr>
        <w:t>U/kg) as well as ε-</w:t>
      </w:r>
      <w:proofErr w:type="spellStart"/>
      <w:r>
        <w:rPr>
          <w:sz w:val="28"/>
          <w:szCs w:val="28"/>
          <w:lang w:val="en-US"/>
        </w:rPr>
        <w:t>aminocaproic</w:t>
      </w:r>
      <w:proofErr w:type="spellEnd"/>
      <w:r>
        <w:rPr>
          <w:sz w:val="28"/>
          <w:szCs w:val="28"/>
          <w:lang w:val="en-US"/>
        </w:rPr>
        <w:t xml:space="preserve"> acid (</w:t>
      </w:r>
      <w:r w:rsidRPr="0046210B">
        <w:rPr>
          <w:sz w:val="28"/>
          <w:szCs w:val="28"/>
          <w:lang w:val="en-US"/>
        </w:rPr>
        <w:t xml:space="preserve">200 </w:t>
      </w:r>
      <w:r>
        <w:rPr>
          <w:sz w:val="28"/>
          <w:szCs w:val="28"/>
          <w:lang w:val="en-US"/>
        </w:rPr>
        <w:t>mg</w:t>
      </w:r>
      <w:r w:rsidRPr="0046210B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kg) and </w:t>
      </w:r>
      <w:proofErr w:type="spellStart"/>
      <w:proofErr w:type="gramStart"/>
      <w:r>
        <w:rPr>
          <w:sz w:val="28"/>
          <w:szCs w:val="28"/>
          <w:lang w:val="en-US"/>
        </w:rPr>
        <w:t>etamsylate</w:t>
      </w:r>
      <w:proofErr w:type="spellEnd"/>
      <w:r w:rsidRPr="0046210B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(</w:t>
      </w:r>
      <w:proofErr w:type="gramEnd"/>
      <w:r w:rsidRPr="0046210B">
        <w:rPr>
          <w:sz w:val="28"/>
          <w:szCs w:val="28"/>
          <w:lang w:val="en-US"/>
        </w:rPr>
        <w:t xml:space="preserve">30 </w:t>
      </w:r>
      <w:r>
        <w:rPr>
          <w:sz w:val="28"/>
          <w:szCs w:val="28"/>
          <w:lang w:val="en-US"/>
        </w:rPr>
        <w:t>mg</w:t>
      </w:r>
      <w:r w:rsidRPr="0046210B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kg)</w:t>
      </w:r>
      <w:r w:rsidRPr="0046210B">
        <w:rPr>
          <w:sz w:val="28"/>
          <w:szCs w:val="28"/>
          <w:lang w:val="en-US"/>
        </w:rPr>
        <w:t>.</w:t>
      </w:r>
    </w:p>
    <w:p w:rsidR="00DD4EE4" w:rsidRPr="0046210B" w:rsidRDefault="00DD4EE4" w:rsidP="00DD4E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Results and discussion.</w:t>
      </w:r>
      <w:proofErr w:type="gram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No patient died in the hospital in both groups studied. </w:t>
      </w:r>
      <w:r w:rsidRPr="0046210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The absence of </w:t>
      </w:r>
      <w:proofErr w:type="spellStart"/>
      <w:r>
        <w:rPr>
          <w:color w:val="000000"/>
          <w:sz w:val="28"/>
          <w:szCs w:val="28"/>
          <w:lang w:val="en-US"/>
        </w:rPr>
        <w:t>allohemotransfusions</w:t>
      </w:r>
      <w:proofErr w:type="spellEnd"/>
      <w:r>
        <w:rPr>
          <w:color w:val="000000"/>
          <w:sz w:val="28"/>
          <w:szCs w:val="28"/>
          <w:lang w:val="en-US"/>
        </w:rPr>
        <w:t xml:space="preserve"> in the main group patients promoted the decrease of post-operative complication quantity from 9.9% up to 2.2% comparing to the control group; the duration of artificial lung ventilation decreased from</w:t>
      </w:r>
      <w:r w:rsidRPr="0046210B">
        <w:rPr>
          <w:sz w:val="28"/>
          <w:szCs w:val="28"/>
          <w:lang w:val="en-US"/>
        </w:rPr>
        <w:t xml:space="preserve"> 12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3±11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 xml:space="preserve">  hours up to </w:t>
      </w:r>
      <w:r w:rsidRPr="0046210B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4±3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 xml:space="preserve">hours, the duration of intensive therapy having become shortened from </w:t>
      </w:r>
      <w:r w:rsidRPr="0046210B">
        <w:rPr>
          <w:sz w:val="28"/>
          <w:szCs w:val="28"/>
          <w:lang w:val="en-US"/>
        </w:rPr>
        <w:t>116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3±45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hours up to</w:t>
      </w:r>
      <w:r w:rsidRPr="0046210B">
        <w:rPr>
          <w:sz w:val="28"/>
          <w:szCs w:val="28"/>
          <w:lang w:val="en-US"/>
        </w:rPr>
        <w:t xml:space="preserve"> 56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4±22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hours</w:t>
      </w:r>
      <w:r w:rsidRPr="0046210B">
        <w:rPr>
          <w:sz w:val="28"/>
          <w:szCs w:val="28"/>
          <w:lang w:val="en-US"/>
        </w:rPr>
        <w:t xml:space="preserve"> (</w:t>
      </w:r>
      <w:r w:rsidRPr="0060575D">
        <w:rPr>
          <w:sz w:val="28"/>
          <w:szCs w:val="28"/>
        </w:rPr>
        <w:t>р</w:t>
      </w:r>
      <w:r w:rsidRPr="0046210B">
        <w:rPr>
          <w:sz w:val="28"/>
          <w:szCs w:val="28"/>
          <w:lang w:val="en-US"/>
        </w:rPr>
        <w:t>&lt;0</w:t>
      </w:r>
      <w:proofErr w:type="gramStart"/>
      <w:r w:rsidRPr="0046210B">
        <w:rPr>
          <w:sz w:val="28"/>
          <w:szCs w:val="28"/>
          <w:lang w:val="en-US"/>
        </w:rPr>
        <w:t>,05</w:t>
      </w:r>
      <w:proofErr w:type="gramEnd"/>
      <w:r w:rsidRPr="0046210B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  <w:lang w:val="en-US"/>
        </w:rPr>
        <w:t>Thus, the blood reserving approaches in the main group proposed here permit to improve the results of surgical interventions aiming to correct MVDs</w:t>
      </w:r>
      <w:r w:rsidRPr="0046210B">
        <w:rPr>
          <w:sz w:val="28"/>
          <w:szCs w:val="28"/>
          <w:lang w:val="en-US"/>
        </w:rPr>
        <w:t>.</w:t>
      </w:r>
    </w:p>
    <w:p w:rsidR="00DD4EE4" w:rsidRPr="0046210B" w:rsidRDefault="00DD4EE4" w:rsidP="00DD4EE4">
      <w:pPr>
        <w:pStyle w:val="1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decrease of intra-operative blood loss belongs to the main tasks of operations being carried out without donor blood use</w:t>
      </w:r>
      <w:r w:rsidRPr="0046210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Having analyzed comparatively the volumes of intra-operation blood loss we have seen the loss in the main group of patients to be considerably lower than in the control one – </w:t>
      </w:r>
      <w:r w:rsidRPr="0046210B">
        <w:rPr>
          <w:sz w:val="28"/>
          <w:szCs w:val="28"/>
          <w:lang w:val="en-US"/>
        </w:rPr>
        <w:t>271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2±73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 xml:space="preserve">ml and </w:t>
      </w:r>
      <w:r w:rsidRPr="0046210B">
        <w:rPr>
          <w:sz w:val="28"/>
          <w:szCs w:val="28"/>
          <w:lang w:val="en-US"/>
        </w:rPr>
        <w:t>533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>1±131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ml, respectively</w:t>
      </w:r>
      <w:r w:rsidRPr="0046210B">
        <w:rPr>
          <w:sz w:val="28"/>
          <w:szCs w:val="28"/>
          <w:lang w:val="en-US"/>
        </w:rPr>
        <w:t xml:space="preserve"> (</w:t>
      </w:r>
      <w:r w:rsidRPr="00DC0BF2">
        <w:rPr>
          <w:sz w:val="28"/>
          <w:szCs w:val="28"/>
        </w:rPr>
        <w:t>р</w:t>
      </w:r>
      <w:r w:rsidRPr="0046210B">
        <w:rPr>
          <w:sz w:val="28"/>
          <w:szCs w:val="28"/>
          <w:lang w:val="en-US"/>
        </w:rPr>
        <w:t xml:space="preserve">&lt;0,05). </w:t>
      </w:r>
      <w:r>
        <w:rPr>
          <w:sz w:val="28"/>
          <w:szCs w:val="28"/>
          <w:lang w:val="en-US"/>
        </w:rPr>
        <w:t xml:space="preserve">The data concerning </w:t>
      </w:r>
      <w:r>
        <w:rPr>
          <w:sz w:val="28"/>
          <w:szCs w:val="28"/>
          <w:lang w:val="en-US"/>
        </w:rPr>
        <w:lastRenderedPageBreak/>
        <w:t xml:space="preserve">the blood loss volumes are shown in the Table </w:t>
      </w:r>
      <w:r w:rsidRPr="0046210B">
        <w:rPr>
          <w:sz w:val="28"/>
          <w:szCs w:val="28"/>
          <w:lang w:val="en-US"/>
        </w:rPr>
        <w:t>4.</w:t>
      </w:r>
    </w:p>
    <w:p w:rsidR="00DD4EE4" w:rsidRPr="0046210B" w:rsidRDefault="00DD4EE4" w:rsidP="00DD4EE4">
      <w:pPr>
        <w:pStyle w:val="1"/>
        <w:spacing w:line="360" w:lineRule="auto"/>
        <w:ind w:firstLine="709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Table</w:t>
      </w:r>
      <w:r w:rsidRPr="0046210B">
        <w:rPr>
          <w:sz w:val="28"/>
          <w:szCs w:val="28"/>
          <w:lang w:val="en-US"/>
        </w:rPr>
        <w:t xml:space="preserve"> 4 </w:t>
      </w:r>
    </w:p>
    <w:p w:rsidR="00DD4EE4" w:rsidRDefault="00DD4EE4" w:rsidP="00DD4EE4">
      <w:pPr>
        <w:pStyle w:val="1"/>
        <w:spacing w:line="360" w:lineRule="auto"/>
        <w:ind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Intra-operative blood loss in cardio-surgical patients</w:t>
      </w:r>
    </w:p>
    <w:p w:rsidR="00DD4EE4" w:rsidRPr="0046210B" w:rsidRDefault="00DD4EE4" w:rsidP="00DD4EE4">
      <w:pPr>
        <w:pStyle w:val="1"/>
        <w:spacing w:line="360" w:lineRule="auto"/>
        <w:ind w:firstLine="709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blood exudation through drainages in the ICU</w:t>
      </w:r>
    </w:p>
    <w:tbl>
      <w:tblPr>
        <w:tblW w:w="8930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539"/>
        <w:gridCol w:w="1296"/>
        <w:gridCol w:w="2126"/>
        <w:gridCol w:w="1134"/>
      </w:tblGrid>
      <w:tr w:rsidR="00DD4EE4" w:rsidRPr="00DC0BF2" w:rsidTr="00AF273B">
        <w:trPr>
          <w:trHeight w:hRule="exact" w:val="10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EE4" w:rsidRPr="0046210B" w:rsidRDefault="00DD4EE4" w:rsidP="00AF273B">
            <w:pPr>
              <w:pStyle w:val="1"/>
              <w:spacing w:line="360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EE4" w:rsidRPr="00DC0BF2" w:rsidRDefault="00DD4EE4" w:rsidP="00AF273B">
            <w:pPr>
              <w:pStyle w:val="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Main group</w:t>
            </w:r>
            <w:r w:rsidRPr="00DC0BF2">
              <w:rPr>
                <w:sz w:val="28"/>
                <w:szCs w:val="28"/>
              </w:rPr>
              <w:t xml:space="preserve"> (</w:t>
            </w:r>
            <w:r w:rsidRPr="00DC0BF2">
              <w:rPr>
                <w:sz w:val="28"/>
                <w:szCs w:val="28"/>
                <w:lang w:val="en-US"/>
              </w:rPr>
              <w:t>n</w:t>
            </w:r>
            <w:r w:rsidRPr="00DC0BF2">
              <w:rPr>
                <w:sz w:val="28"/>
                <w:szCs w:val="28"/>
              </w:rPr>
              <w:t>=227)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EE4" w:rsidRPr="00DC0BF2" w:rsidRDefault="00DD4EE4" w:rsidP="00AF273B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DC0BF2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  <w:lang w:val="en-US"/>
              </w:rPr>
              <w:t xml:space="preserve">  from    CBV</w:t>
            </w:r>
            <w:r w:rsidRPr="00DC0BF2">
              <w:rPr>
                <w:sz w:val="28"/>
                <w:szCs w:val="28"/>
              </w:rPr>
              <w:t xml:space="preserve"> ОЦК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EE4" w:rsidRPr="00DC0BF2" w:rsidRDefault="00DD4EE4" w:rsidP="00AF273B">
            <w:pPr>
              <w:pStyle w:val="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Control group</w:t>
            </w:r>
            <w:r w:rsidRPr="00DC0BF2">
              <w:rPr>
                <w:sz w:val="28"/>
                <w:szCs w:val="28"/>
              </w:rPr>
              <w:t xml:space="preserve"> </w:t>
            </w:r>
          </w:p>
          <w:p w:rsidR="00DD4EE4" w:rsidRPr="00DC0BF2" w:rsidRDefault="00DD4EE4" w:rsidP="00AF273B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DC0BF2">
              <w:rPr>
                <w:sz w:val="28"/>
                <w:szCs w:val="28"/>
              </w:rPr>
              <w:t>(</w:t>
            </w:r>
            <w:r w:rsidRPr="00DC0BF2">
              <w:rPr>
                <w:sz w:val="28"/>
                <w:szCs w:val="28"/>
                <w:lang w:val="en-US"/>
              </w:rPr>
              <w:t>n</w:t>
            </w:r>
            <w:r w:rsidRPr="00DC0BF2">
              <w:rPr>
                <w:sz w:val="28"/>
                <w:szCs w:val="28"/>
              </w:rPr>
              <w:t>=90)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EE4" w:rsidRPr="00DC0BF2" w:rsidRDefault="00DD4EE4" w:rsidP="00AF273B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DC0BF2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  <w:lang w:val="en-US"/>
              </w:rPr>
              <w:t>from CBV</w:t>
            </w:r>
          </w:p>
        </w:tc>
      </w:tr>
      <w:tr w:rsidR="00DD4EE4" w:rsidRPr="00DC0BF2" w:rsidTr="00AF273B">
        <w:trPr>
          <w:trHeight w:hRule="exact" w:val="9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EE4" w:rsidRPr="0046210B" w:rsidRDefault="00DD4EE4" w:rsidP="00AF273B">
            <w:pPr>
              <w:pStyle w:val="1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Intra-operative blood loss, ml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EE4" w:rsidRPr="00DC0BF2" w:rsidRDefault="00DD4EE4" w:rsidP="00AF273B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DC0BF2"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 w:rsidRPr="00DC0BF2">
              <w:rPr>
                <w:sz w:val="28"/>
                <w:szCs w:val="28"/>
              </w:rPr>
              <w:t>5±34</w:t>
            </w:r>
            <w:r>
              <w:rPr>
                <w:sz w:val="28"/>
                <w:szCs w:val="28"/>
                <w:lang w:val="en-US"/>
              </w:rPr>
              <w:t>.</w:t>
            </w:r>
            <w:r w:rsidRPr="00DC0BF2">
              <w:rPr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EE4" w:rsidRPr="00DC0BF2" w:rsidRDefault="00DD4EE4" w:rsidP="00AF273B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DC0B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  <w:r w:rsidRPr="00DC0BF2">
              <w:rPr>
                <w:sz w:val="28"/>
                <w:szCs w:val="28"/>
              </w:rPr>
              <w:t>0±0</w:t>
            </w:r>
            <w:r>
              <w:rPr>
                <w:sz w:val="28"/>
                <w:szCs w:val="28"/>
                <w:lang w:val="en-US"/>
              </w:rPr>
              <w:t>.</w:t>
            </w:r>
            <w:r w:rsidRPr="00DC0BF2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EE4" w:rsidRPr="00DC0BF2" w:rsidRDefault="00DD4EE4" w:rsidP="00AF273B">
            <w:pPr>
              <w:pStyle w:val="1"/>
              <w:spacing w:line="360" w:lineRule="auto"/>
              <w:rPr>
                <w:color w:val="FF0000"/>
                <w:sz w:val="28"/>
                <w:szCs w:val="28"/>
                <w:vertAlign w:val="superscript"/>
              </w:rPr>
            </w:pPr>
            <w:r w:rsidRPr="00DC0BF2">
              <w:rPr>
                <w:sz w:val="28"/>
                <w:szCs w:val="28"/>
              </w:rPr>
              <w:t>421</w:t>
            </w:r>
            <w:r>
              <w:rPr>
                <w:sz w:val="28"/>
                <w:szCs w:val="28"/>
                <w:lang w:val="en-US"/>
              </w:rPr>
              <w:t>.</w:t>
            </w:r>
            <w:r w:rsidRPr="00DC0BF2">
              <w:rPr>
                <w:sz w:val="28"/>
                <w:szCs w:val="28"/>
              </w:rPr>
              <w:t>1±83</w:t>
            </w:r>
            <w:r>
              <w:rPr>
                <w:sz w:val="28"/>
                <w:szCs w:val="28"/>
                <w:lang w:val="en-US"/>
              </w:rPr>
              <w:t>.</w:t>
            </w:r>
            <w:r w:rsidRPr="00DC0BF2">
              <w:rPr>
                <w:sz w:val="28"/>
                <w:szCs w:val="28"/>
              </w:rPr>
              <w:t>5</w:t>
            </w:r>
          </w:p>
          <w:p w:rsidR="00DD4EE4" w:rsidRPr="00DC0BF2" w:rsidRDefault="00DD4EE4" w:rsidP="00AF273B">
            <w:pPr>
              <w:pStyle w:val="1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DD4EE4" w:rsidRPr="00DC0BF2" w:rsidRDefault="00DD4EE4" w:rsidP="00AF273B">
            <w:pPr>
              <w:pStyle w:val="1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DD4EE4" w:rsidRPr="00DC0BF2" w:rsidRDefault="00DD4EE4" w:rsidP="00AF273B">
            <w:pPr>
              <w:pStyle w:val="1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DD4EE4" w:rsidRPr="00DC0BF2" w:rsidRDefault="00DD4EE4" w:rsidP="00AF273B">
            <w:pPr>
              <w:pStyle w:val="1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DD4EE4" w:rsidRPr="00DC0BF2" w:rsidRDefault="00DD4EE4" w:rsidP="00AF273B">
            <w:pPr>
              <w:pStyle w:val="1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DD4EE4" w:rsidRPr="00DC0BF2" w:rsidRDefault="00DD4EE4" w:rsidP="00AF273B">
            <w:pPr>
              <w:pStyle w:val="1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DD4EE4" w:rsidRPr="00DC0BF2" w:rsidRDefault="00DD4EE4" w:rsidP="00AF273B">
            <w:pPr>
              <w:pStyle w:val="1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DD4EE4" w:rsidRPr="00DC0BF2" w:rsidRDefault="00DD4EE4" w:rsidP="00AF273B">
            <w:pPr>
              <w:pStyle w:val="1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DD4EE4" w:rsidRPr="00DC0BF2" w:rsidRDefault="00DD4EE4" w:rsidP="00AF273B">
            <w:pPr>
              <w:pStyle w:val="1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DD4EE4" w:rsidRPr="00DC0BF2" w:rsidRDefault="00DD4EE4" w:rsidP="00AF273B">
            <w:pPr>
              <w:pStyle w:val="1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EE4" w:rsidRPr="00DC0BF2" w:rsidRDefault="00DD4EE4" w:rsidP="00AF273B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DC0BF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  <w:r w:rsidRPr="00DC0BF2">
              <w:rPr>
                <w:sz w:val="28"/>
                <w:szCs w:val="28"/>
              </w:rPr>
              <w:t>9±1</w:t>
            </w:r>
            <w:r>
              <w:rPr>
                <w:sz w:val="28"/>
                <w:szCs w:val="28"/>
                <w:lang w:val="en-US"/>
              </w:rPr>
              <w:t>.</w:t>
            </w:r>
            <w:r w:rsidRPr="00DC0BF2">
              <w:rPr>
                <w:sz w:val="28"/>
                <w:szCs w:val="28"/>
              </w:rPr>
              <w:t>8</w:t>
            </w:r>
          </w:p>
        </w:tc>
      </w:tr>
      <w:tr w:rsidR="00DD4EE4" w:rsidRPr="00DC0BF2" w:rsidTr="00AF273B">
        <w:trPr>
          <w:trHeight w:hRule="exact" w:val="91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EE4" w:rsidRPr="00DC0BF2" w:rsidRDefault="00DD4EE4" w:rsidP="00AF273B">
            <w:pPr>
              <w:pStyle w:val="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Exudation through drainages, ml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EE4" w:rsidRPr="00DC0BF2" w:rsidRDefault="00DD4EE4" w:rsidP="00AF273B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DC0BF2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  <w:lang w:val="en-US"/>
              </w:rPr>
              <w:t>.</w:t>
            </w:r>
            <w:r w:rsidRPr="00DC0BF2">
              <w:rPr>
                <w:sz w:val="28"/>
                <w:szCs w:val="28"/>
              </w:rPr>
              <w:t>7±39</w:t>
            </w:r>
            <w:r>
              <w:rPr>
                <w:sz w:val="28"/>
                <w:szCs w:val="28"/>
                <w:lang w:val="en-US"/>
              </w:rPr>
              <w:t>.</w:t>
            </w:r>
            <w:r w:rsidRPr="00DC0BF2">
              <w:rPr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EE4" w:rsidRPr="00DC0BF2" w:rsidRDefault="00DD4EE4" w:rsidP="00AF273B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DC0B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  <w:r w:rsidRPr="00DC0BF2">
              <w:rPr>
                <w:sz w:val="28"/>
                <w:szCs w:val="28"/>
              </w:rPr>
              <w:t>8±0</w:t>
            </w:r>
            <w:r>
              <w:rPr>
                <w:sz w:val="28"/>
                <w:szCs w:val="28"/>
                <w:lang w:val="en-US"/>
              </w:rPr>
              <w:t>.</w:t>
            </w:r>
            <w:r w:rsidRPr="00DC0BF2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EE4" w:rsidRPr="00DC0BF2" w:rsidRDefault="00DD4EE4" w:rsidP="00AF273B">
            <w:pPr>
              <w:pStyle w:val="1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DC0BF2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  <w:lang w:val="en-US"/>
              </w:rPr>
              <w:t>.</w:t>
            </w:r>
            <w:r w:rsidRPr="00DC0BF2">
              <w:rPr>
                <w:sz w:val="28"/>
                <w:szCs w:val="28"/>
              </w:rPr>
              <w:t>0±48</w:t>
            </w:r>
            <w:r>
              <w:rPr>
                <w:sz w:val="28"/>
                <w:szCs w:val="28"/>
                <w:lang w:val="en-US"/>
              </w:rPr>
              <w:t>.</w:t>
            </w:r>
            <w:r w:rsidRPr="00DC0BF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EE4" w:rsidRPr="00DC0BF2" w:rsidRDefault="00DD4EE4" w:rsidP="00AF273B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DC0B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 w:rsidRPr="00DC0BF2">
              <w:rPr>
                <w:sz w:val="28"/>
                <w:szCs w:val="28"/>
              </w:rPr>
              <w:t>3±1</w:t>
            </w:r>
            <w:r>
              <w:rPr>
                <w:sz w:val="28"/>
                <w:szCs w:val="28"/>
                <w:lang w:val="en-US"/>
              </w:rPr>
              <w:t>.</w:t>
            </w:r>
            <w:r w:rsidRPr="00DC0BF2">
              <w:rPr>
                <w:sz w:val="28"/>
                <w:szCs w:val="28"/>
              </w:rPr>
              <w:t>0</w:t>
            </w:r>
          </w:p>
        </w:tc>
      </w:tr>
      <w:tr w:rsidR="00DD4EE4" w:rsidRPr="00DC0BF2" w:rsidTr="00AF273B">
        <w:trPr>
          <w:trHeight w:hRule="exact" w:val="5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EE4" w:rsidRPr="00DC0BF2" w:rsidRDefault="00DD4EE4" w:rsidP="00AF273B">
            <w:pPr>
              <w:pStyle w:val="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 all, ml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EE4" w:rsidRPr="00DC0BF2" w:rsidRDefault="00DD4EE4" w:rsidP="00AF273B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DC0BF2">
              <w:rPr>
                <w:sz w:val="28"/>
                <w:szCs w:val="28"/>
              </w:rPr>
              <w:t>271</w:t>
            </w:r>
            <w:r>
              <w:rPr>
                <w:sz w:val="28"/>
                <w:szCs w:val="28"/>
                <w:lang w:val="en-US"/>
              </w:rPr>
              <w:t>.</w:t>
            </w:r>
            <w:r w:rsidRPr="00DC0BF2">
              <w:rPr>
                <w:sz w:val="28"/>
                <w:szCs w:val="28"/>
              </w:rPr>
              <w:t>2±73</w:t>
            </w:r>
            <w:r>
              <w:rPr>
                <w:sz w:val="28"/>
                <w:szCs w:val="28"/>
                <w:lang w:val="en-US"/>
              </w:rPr>
              <w:t>.</w:t>
            </w:r>
            <w:r w:rsidRPr="00DC0BF2">
              <w:rPr>
                <w:sz w:val="28"/>
                <w:szCs w:val="28"/>
              </w:rPr>
              <w:t>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EE4" w:rsidRPr="00DC0BF2" w:rsidRDefault="00DD4EE4" w:rsidP="00AF273B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DC0BF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 w:rsidRPr="00DC0BF2">
              <w:rPr>
                <w:sz w:val="28"/>
                <w:szCs w:val="28"/>
              </w:rPr>
              <w:t>8±1</w:t>
            </w:r>
            <w:r>
              <w:rPr>
                <w:sz w:val="28"/>
                <w:szCs w:val="28"/>
                <w:lang w:val="en-US"/>
              </w:rPr>
              <w:t>.</w:t>
            </w:r>
            <w:r w:rsidRPr="00DC0BF2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EE4" w:rsidRPr="00DC0BF2" w:rsidRDefault="00DD4EE4" w:rsidP="00AF273B">
            <w:pPr>
              <w:pStyle w:val="1"/>
              <w:spacing w:line="360" w:lineRule="auto"/>
              <w:rPr>
                <w:sz w:val="28"/>
                <w:szCs w:val="28"/>
                <w:vertAlign w:val="superscript"/>
                <w:lang w:val="en-US"/>
              </w:rPr>
            </w:pPr>
            <w:r w:rsidRPr="00DC0BF2">
              <w:rPr>
                <w:sz w:val="28"/>
                <w:szCs w:val="28"/>
              </w:rPr>
              <w:t>533</w:t>
            </w:r>
            <w:r>
              <w:rPr>
                <w:sz w:val="28"/>
                <w:szCs w:val="28"/>
                <w:lang w:val="en-US"/>
              </w:rPr>
              <w:t>.</w:t>
            </w:r>
            <w:r w:rsidRPr="00DC0BF2">
              <w:rPr>
                <w:sz w:val="28"/>
                <w:szCs w:val="28"/>
              </w:rPr>
              <w:t>1±131</w:t>
            </w:r>
            <w:r>
              <w:rPr>
                <w:sz w:val="28"/>
                <w:szCs w:val="28"/>
                <w:lang w:val="en-US"/>
              </w:rPr>
              <w:t>.</w:t>
            </w:r>
            <w:r w:rsidRPr="00DC0BF2">
              <w:rPr>
                <w:sz w:val="28"/>
                <w:szCs w:val="28"/>
                <w:lang w:val="en-US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EE4" w:rsidRPr="00DC0BF2" w:rsidRDefault="00DD4EE4" w:rsidP="00AF273B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DC0BF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.</w:t>
            </w:r>
            <w:r w:rsidRPr="00DC0BF2">
              <w:rPr>
                <w:sz w:val="28"/>
                <w:szCs w:val="28"/>
              </w:rPr>
              <w:t>2±2</w:t>
            </w:r>
            <w:r>
              <w:rPr>
                <w:sz w:val="28"/>
                <w:szCs w:val="28"/>
                <w:lang w:val="en-US"/>
              </w:rPr>
              <w:t>.</w:t>
            </w:r>
            <w:r w:rsidRPr="00DC0BF2">
              <w:rPr>
                <w:sz w:val="28"/>
                <w:szCs w:val="28"/>
              </w:rPr>
              <w:t>8</w:t>
            </w:r>
          </w:p>
        </w:tc>
      </w:tr>
    </w:tbl>
    <w:p w:rsidR="00DD4EE4" w:rsidRPr="0002656B" w:rsidRDefault="00DD4EE4" w:rsidP="00DD4EE4">
      <w:pPr>
        <w:pStyle w:val="1"/>
        <w:spacing w:line="360" w:lineRule="auto"/>
        <w:ind w:firstLine="709"/>
        <w:jc w:val="both"/>
        <w:rPr>
          <w:sz w:val="24"/>
          <w:szCs w:val="24"/>
        </w:rPr>
      </w:pPr>
    </w:p>
    <w:p w:rsidR="00DD4EE4" w:rsidRDefault="00DD4EE4" w:rsidP="00DD4EE4">
      <w:pPr>
        <w:pStyle w:val="1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DD4EE4" w:rsidRPr="0046210B" w:rsidRDefault="00DD4EE4" w:rsidP="00DD4EE4">
      <w:pPr>
        <w:pStyle w:val="1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the control group both donor blood and plasma </w:t>
      </w:r>
      <w:proofErr w:type="gramStart"/>
      <w:r>
        <w:rPr>
          <w:sz w:val="28"/>
          <w:szCs w:val="28"/>
          <w:lang w:val="en-US"/>
        </w:rPr>
        <w:t>were</w:t>
      </w:r>
      <w:proofErr w:type="gramEnd"/>
      <w:r>
        <w:rPr>
          <w:sz w:val="28"/>
          <w:szCs w:val="28"/>
          <w:lang w:val="en-US"/>
        </w:rPr>
        <w:t xml:space="preserve"> used at all operation stages in 90 patients </w:t>
      </w:r>
      <w:r w:rsidRPr="0046210B">
        <w:rPr>
          <w:sz w:val="28"/>
          <w:szCs w:val="28"/>
          <w:lang w:val="en-US"/>
        </w:rPr>
        <w:t>(100%)</w:t>
      </w:r>
      <w:r>
        <w:rPr>
          <w:sz w:val="28"/>
          <w:szCs w:val="28"/>
          <w:lang w:val="en-US"/>
        </w:rPr>
        <w:t>; in the intensive care unit (ICU) this approach included</w:t>
      </w:r>
      <w:r w:rsidRPr="0046210B">
        <w:rPr>
          <w:sz w:val="28"/>
          <w:szCs w:val="28"/>
          <w:lang w:val="en-US"/>
        </w:rPr>
        <w:t xml:space="preserve"> 48 </w:t>
      </w:r>
      <w:r>
        <w:rPr>
          <w:sz w:val="28"/>
          <w:szCs w:val="28"/>
          <w:lang w:val="en-US"/>
        </w:rPr>
        <w:t xml:space="preserve">patients </w:t>
      </w:r>
      <w:r w:rsidRPr="0046210B">
        <w:rPr>
          <w:sz w:val="28"/>
          <w:szCs w:val="28"/>
          <w:lang w:val="en-US"/>
        </w:rPr>
        <w:t>(53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3%). </w:t>
      </w:r>
      <w:r>
        <w:rPr>
          <w:sz w:val="28"/>
          <w:szCs w:val="28"/>
          <w:lang w:val="en-US"/>
        </w:rPr>
        <w:t xml:space="preserve">In all, the EM volume transfused in the operation room to control patients reached </w:t>
      </w:r>
      <w:r w:rsidRPr="0046210B">
        <w:rPr>
          <w:sz w:val="28"/>
          <w:szCs w:val="28"/>
          <w:lang w:val="en-US"/>
        </w:rPr>
        <w:t>24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052 </w:t>
      </w:r>
      <w:r>
        <w:rPr>
          <w:sz w:val="28"/>
          <w:szCs w:val="28"/>
          <w:lang w:val="en-US"/>
        </w:rPr>
        <w:t xml:space="preserve">ml (i.e. 267.2 per patient), the freshly-frozen plasma volume being </w:t>
      </w:r>
      <w:r w:rsidRPr="0046210B">
        <w:rPr>
          <w:sz w:val="28"/>
          <w:szCs w:val="28"/>
          <w:lang w:val="en-US"/>
        </w:rPr>
        <w:t>30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585 </w:t>
      </w:r>
      <w:r>
        <w:rPr>
          <w:sz w:val="28"/>
          <w:szCs w:val="28"/>
          <w:lang w:val="en-US"/>
        </w:rPr>
        <w:t>ml, i.e. 340 ml per patient</w:t>
      </w:r>
      <w:r w:rsidRPr="0046210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In this group </w:t>
      </w:r>
      <w:r w:rsidRPr="0046210B">
        <w:rPr>
          <w:sz w:val="28"/>
          <w:szCs w:val="28"/>
          <w:lang w:val="en-US"/>
        </w:rPr>
        <w:t>32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317 </w:t>
      </w:r>
      <w:r>
        <w:rPr>
          <w:sz w:val="28"/>
          <w:szCs w:val="28"/>
          <w:lang w:val="en-US"/>
        </w:rPr>
        <w:t>ml of the EM were used, i.e.</w:t>
      </w:r>
      <w:r w:rsidRPr="0046210B">
        <w:rPr>
          <w:sz w:val="28"/>
          <w:szCs w:val="28"/>
          <w:lang w:val="en-US"/>
        </w:rPr>
        <w:t xml:space="preserve"> 359 </w:t>
      </w:r>
      <w:r>
        <w:rPr>
          <w:sz w:val="28"/>
          <w:szCs w:val="28"/>
          <w:lang w:val="en-US"/>
        </w:rPr>
        <w:t xml:space="preserve">ml per patient, and </w:t>
      </w:r>
      <w:r w:rsidRPr="0046210B">
        <w:rPr>
          <w:sz w:val="28"/>
          <w:szCs w:val="28"/>
          <w:lang w:val="en-US"/>
        </w:rPr>
        <w:t>44</w:t>
      </w:r>
      <w:r>
        <w:rPr>
          <w:sz w:val="28"/>
          <w:szCs w:val="28"/>
          <w:lang w:val="en-US"/>
        </w:rPr>
        <w:t>.</w:t>
      </w:r>
      <w:r w:rsidRPr="0046210B">
        <w:rPr>
          <w:sz w:val="28"/>
          <w:szCs w:val="28"/>
          <w:lang w:val="en-US"/>
        </w:rPr>
        <w:t xml:space="preserve">510 </w:t>
      </w:r>
      <w:r>
        <w:rPr>
          <w:sz w:val="28"/>
          <w:szCs w:val="28"/>
          <w:lang w:val="en-US"/>
        </w:rPr>
        <w:t xml:space="preserve">ml of freshly frozen plasma, i.e. </w:t>
      </w:r>
      <w:r w:rsidRPr="0046210B">
        <w:rPr>
          <w:sz w:val="28"/>
          <w:szCs w:val="28"/>
          <w:lang w:val="en-US"/>
        </w:rPr>
        <w:t xml:space="preserve">495 </w:t>
      </w:r>
      <w:r>
        <w:rPr>
          <w:sz w:val="28"/>
          <w:szCs w:val="28"/>
          <w:lang w:val="en-US"/>
        </w:rPr>
        <w:t>ml per</w:t>
      </w:r>
      <w:r w:rsidRPr="0046210B">
        <w:rPr>
          <w:sz w:val="28"/>
          <w:szCs w:val="28"/>
          <w:lang w:val="en-US"/>
        </w:rPr>
        <w:t>.</w:t>
      </w:r>
    </w:p>
    <w:p w:rsidR="00DD4EE4" w:rsidRPr="0046210B" w:rsidRDefault="00DD4EE4" w:rsidP="00DD4EE4">
      <w:pPr>
        <w:pStyle w:val="1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 important criterion of the blood oxygen capacity is the hemoglobin level at</w:t>
      </w:r>
      <w:r w:rsidRPr="004621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each correction stage</w:t>
      </w:r>
      <w:r w:rsidRPr="0046210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The dynamics of hemoglobin levels both in the main and in the control groups at all stages is given in the Table </w:t>
      </w:r>
      <w:r w:rsidRPr="0046210B">
        <w:rPr>
          <w:sz w:val="28"/>
          <w:szCs w:val="28"/>
          <w:lang w:val="en-US"/>
        </w:rPr>
        <w:t>5.</w:t>
      </w:r>
    </w:p>
    <w:p w:rsidR="00DD4EE4" w:rsidRDefault="00DD4EE4" w:rsidP="00DD4EE4">
      <w:pPr>
        <w:pStyle w:val="1"/>
        <w:spacing w:line="360" w:lineRule="auto"/>
        <w:ind w:firstLine="709"/>
        <w:jc w:val="right"/>
        <w:rPr>
          <w:i/>
          <w:iCs/>
          <w:sz w:val="28"/>
          <w:szCs w:val="28"/>
          <w:lang w:val="en-US"/>
        </w:rPr>
      </w:pPr>
    </w:p>
    <w:p w:rsidR="00DD4EE4" w:rsidRPr="0046210B" w:rsidRDefault="00DD4EE4" w:rsidP="00DD4EE4">
      <w:pPr>
        <w:pStyle w:val="1"/>
        <w:spacing w:line="360" w:lineRule="auto"/>
        <w:ind w:firstLine="709"/>
        <w:jc w:val="right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Table 5</w:t>
      </w:r>
      <w:r w:rsidRPr="0046210B">
        <w:rPr>
          <w:i/>
          <w:iCs/>
          <w:sz w:val="28"/>
          <w:szCs w:val="28"/>
          <w:lang w:val="en-US"/>
        </w:rPr>
        <w:t xml:space="preserve"> </w:t>
      </w:r>
    </w:p>
    <w:p w:rsidR="00DD4EE4" w:rsidRPr="0046210B" w:rsidRDefault="00DD4EE4" w:rsidP="00DD4EE4">
      <w:pPr>
        <w:pStyle w:val="1"/>
        <w:spacing w:line="360" w:lineRule="auto"/>
        <w:ind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Dynamics of </w:t>
      </w:r>
      <w:proofErr w:type="spellStart"/>
      <w:r>
        <w:rPr>
          <w:sz w:val="28"/>
          <w:szCs w:val="28"/>
          <w:lang w:val="en-US"/>
        </w:rPr>
        <w:t>Hb</w:t>
      </w:r>
      <w:proofErr w:type="spellEnd"/>
      <w:r>
        <w:rPr>
          <w:sz w:val="28"/>
          <w:szCs w:val="28"/>
          <w:lang w:val="en-US"/>
        </w:rPr>
        <w:t xml:space="preserve"> levels </w:t>
      </w:r>
      <w:r w:rsidRPr="0046210B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g</w:t>
      </w:r>
      <w:r w:rsidRPr="0046210B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l</w:t>
      </w:r>
      <w:r w:rsidRPr="0046210B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in groups with blood reserving                                        and in the control group at all operation stages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1382"/>
        <w:gridCol w:w="1200"/>
        <w:gridCol w:w="1200"/>
        <w:gridCol w:w="1320"/>
        <w:gridCol w:w="1200"/>
        <w:gridCol w:w="1211"/>
      </w:tblGrid>
      <w:tr w:rsidR="00DD4EE4" w:rsidRPr="002A2F41" w:rsidTr="00AF273B">
        <w:trPr>
          <w:trHeight w:val="447"/>
          <w:jc w:val="center"/>
        </w:trPr>
        <w:tc>
          <w:tcPr>
            <w:tcW w:w="1276" w:type="dxa"/>
            <w:vMerge w:val="restart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en-US"/>
              </w:rPr>
            </w:pPr>
            <w:r w:rsidRPr="00440BB7">
              <w:rPr>
                <w:lang w:val="en-US"/>
              </w:rPr>
              <w:t>Groups</w:t>
            </w:r>
          </w:p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</w:p>
        </w:tc>
        <w:tc>
          <w:tcPr>
            <w:tcW w:w="8789" w:type="dxa"/>
            <w:gridSpan w:val="7"/>
          </w:tcPr>
          <w:p w:rsidR="00DD4EE4" w:rsidRPr="00440BB7" w:rsidRDefault="00DD4EE4" w:rsidP="00AF273B">
            <w:pPr>
              <w:pStyle w:val="1"/>
              <w:spacing w:line="360" w:lineRule="auto"/>
              <w:ind w:firstLine="709"/>
              <w:jc w:val="center"/>
              <w:rPr>
                <w:lang w:val="uk-UA"/>
              </w:rPr>
            </w:pPr>
            <w:r w:rsidRPr="00440BB7">
              <w:rPr>
                <w:lang w:val="en-US"/>
              </w:rPr>
              <w:t>Stages</w:t>
            </w:r>
            <w:r w:rsidRPr="00440BB7">
              <w:rPr>
                <w:lang w:val="uk-UA"/>
              </w:rPr>
              <w:t xml:space="preserve"> </w:t>
            </w:r>
          </w:p>
        </w:tc>
      </w:tr>
      <w:tr w:rsidR="00DD4EE4" w:rsidRPr="002A2F41" w:rsidTr="00AF273B">
        <w:trPr>
          <w:trHeight w:val="690"/>
          <w:jc w:val="center"/>
        </w:trPr>
        <w:tc>
          <w:tcPr>
            <w:tcW w:w="1276" w:type="dxa"/>
            <w:vMerge/>
          </w:tcPr>
          <w:p w:rsidR="00DD4EE4" w:rsidRPr="00440BB7" w:rsidRDefault="00DD4EE4" w:rsidP="00AF273B">
            <w:pPr>
              <w:pStyle w:val="1"/>
              <w:spacing w:line="360" w:lineRule="auto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DD4EE4" w:rsidRDefault="00DD4EE4" w:rsidP="00AF273B">
            <w:pPr>
              <w:pStyle w:val="1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Beginning</w:t>
            </w:r>
          </w:p>
          <w:p w:rsidR="00DD4EE4" w:rsidRPr="00440BB7" w:rsidRDefault="00DD4EE4" w:rsidP="00AF273B">
            <w:pPr>
              <w:pStyle w:val="1"/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of narcosis</w:t>
            </w:r>
          </w:p>
        </w:tc>
        <w:tc>
          <w:tcPr>
            <w:tcW w:w="1382" w:type="dxa"/>
          </w:tcPr>
          <w:p w:rsidR="00DD4EE4" w:rsidRDefault="00DD4EE4" w:rsidP="00AF273B">
            <w:pPr>
              <w:pStyle w:val="1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Beginning </w:t>
            </w:r>
          </w:p>
          <w:p w:rsidR="00DD4EE4" w:rsidRPr="00440BB7" w:rsidRDefault="00DD4EE4" w:rsidP="00AF273B">
            <w:pPr>
              <w:pStyle w:val="1"/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of operation </w:t>
            </w:r>
          </w:p>
        </w:tc>
        <w:tc>
          <w:tcPr>
            <w:tcW w:w="1200" w:type="dxa"/>
          </w:tcPr>
          <w:p w:rsidR="00DD4EE4" w:rsidRDefault="00DD4EE4" w:rsidP="00AF273B">
            <w:pPr>
              <w:pStyle w:val="1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Beginning</w:t>
            </w:r>
          </w:p>
          <w:p w:rsidR="00DD4EE4" w:rsidRPr="00440BB7" w:rsidRDefault="00DD4EE4" w:rsidP="00AF273B">
            <w:pPr>
              <w:pStyle w:val="1"/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of the CPB </w:t>
            </w:r>
          </w:p>
        </w:tc>
        <w:tc>
          <w:tcPr>
            <w:tcW w:w="1200" w:type="dxa"/>
          </w:tcPr>
          <w:p w:rsidR="00DD4EE4" w:rsidRDefault="00DD4EE4" w:rsidP="00AF273B">
            <w:pPr>
              <w:pStyle w:val="1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Ending</w:t>
            </w:r>
          </w:p>
          <w:p w:rsidR="00DD4EE4" w:rsidRPr="00440BB7" w:rsidRDefault="00DD4EE4" w:rsidP="00AF273B">
            <w:pPr>
              <w:pStyle w:val="1"/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of the CPB</w:t>
            </w:r>
          </w:p>
        </w:tc>
        <w:tc>
          <w:tcPr>
            <w:tcW w:w="1320" w:type="dxa"/>
          </w:tcPr>
          <w:p w:rsidR="00DD4EE4" w:rsidRDefault="00DD4EE4" w:rsidP="00AF273B">
            <w:pPr>
              <w:pStyle w:val="1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Ending of the operation</w:t>
            </w:r>
          </w:p>
          <w:p w:rsidR="00DD4EE4" w:rsidRPr="00440BB7" w:rsidRDefault="00DD4EE4" w:rsidP="00AF273B">
            <w:pPr>
              <w:pStyle w:val="1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00" w:type="dxa"/>
          </w:tcPr>
          <w:p w:rsidR="00DD4EE4" w:rsidRPr="00440BB7" w:rsidRDefault="00DD4EE4" w:rsidP="00AF273B">
            <w:pPr>
              <w:pStyle w:val="1"/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Pr="005352A2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day post operation</w:t>
            </w:r>
          </w:p>
        </w:tc>
        <w:tc>
          <w:tcPr>
            <w:tcW w:w="1211" w:type="dxa"/>
          </w:tcPr>
          <w:p w:rsidR="00DD4EE4" w:rsidRPr="00440BB7" w:rsidRDefault="00DD4EE4" w:rsidP="00AF273B">
            <w:pPr>
              <w:pStyle w:val="1"/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Discharge</w:t>
            </w:r>
          </w:p>
        </w:tc>
      </w:tr>
      <w:tr w:rsidR="00DD4EE4" w:rsidRPr="002A2F41" w:rsidTr="00AF273B">
        <w:trPr>
          <w:trHeight w:val="465"/>
          <w:jc w:val="center"/>
        </w:trPr>
        <w:tc>
          <w:tcPr>
            <w:tcW w:w="1276" w:type="dxa"/>
          </w:tcPr>
          <w:p w:rsidR="00DD4EE4" w:rsidRPr="00440BB7" w:rsidRDefault="00DD4EE4" w:rsidP="00AF273B">
            <w:pPr>
              <w:pStyle w:val="1"/>
              <w:spacing w:line="360" w:lineRule="auto"/>
            </w:pPr>
            <w:r w:rsidRPr="00440BB7">
              <w:rPr>
                <w:lang w:val="en-US"/>
              </w:rPr>
              <w:lastRenderedPageBreak/>
              <w:t>A-variant</w:t>
            </w:r>
          </w:p>
          <w:p w:rsidR="00DD4EE4" w:rsidRPr="00440BB7" w:rsidRDefault="00DD4EE4" w:rsidP="00AF273B">
            <w:pPr>
              <w:pStyle w:val="1"/>
              <w:spacing w:line="360" w:lineRule="auto"/>
              <w:rPr>
                <w:lang w:val="en-US"/>
              </w:rPr>
            </w:pPr>
            <w:r w:rsidRPr="00440BB7">
              <w:rPr>
                <w:lang w:val="en-US"/>
              </w:rPr>
              <w:t>(n=104)</w:t>
            </w:r>
          </w:p>
        </w:tc>
        <w:tc>
          <w:tcPr>
            <w:tcW w:w="1276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rPr>
                <w:color w:val="000000"/>
              </w:rPr>
              <w:t>135</w:t>
            </w:r>
            <w:r w:rsidRPr="00440BB7">
              <w:rPr>
                <w:color w:val="000000"/>
                <w:lang w:val="en-US"/>
              </w:rPr>
              <w:t>.</w:t>
            </w:r>
            <w:r w:rsidRPr="00440BB7">
              <w:rPr>
                <w:color w:val="000000"/>
              </w:rPr>
              <w:t>5±16</w:t>
            </w:r>
            <w:r w:rsidRPr="00440BB7">
              <w:rPr>
                <w:color w:val="000000"/>
                <w:lang w:val="en-US"/>
              </w:rPr>
              <w:t>.</w:t>
            </w:r>
            <w:r w:rsidRPr="00440BB7">
              <w:rPr>
                <w:color w:val="000000"/>
              </w:rPr>
              <w:t>0</w:t>
            </w:r>
          </w:p>
        </w:tc>
        <w:tc>
          <w:tcPr>
            <w:tcW w:w="1382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130</w:t>
            </w:r>
            <w:r>
              <w:rPr>
                <w:lang w:val="en-US"/>
              </w:rPr>
              <w:t>.</w:t>
            </w:r>
            <w:r w:rsidRPr="00440BB7">
              <w:t>5±16</w:t>
            </w:r>
            <w:r>
              <w:rPr>
                <w:lang w:val="en-US"/>
              </w:rPr>
              <w:t>.</w:t>
            </w:r>
            <w:r w:rsidRPr="00440BB7">
              <w:t>8</w:t>
            </w:r>
          </w:p>
        </w:tc>
        <w:tc>
          <w:tcPr>
            <w:tcW w:w="1200" w:type="dxa"/>
          </w:tcPr>
          <w:p w:rsidR="00DD4EE4" w:rsidRPr="00440BB7" w:rsidRDefault="00DD4EE4" w:rsidP="00AF273B">
            <w:pPr>
              <w:pStyle w:val="1"/>
              <w:spacing w:line="360" w:lineRule="auto"/>
            </w:pPr>
            <w:r w:rsidRPr="00440BB7">
              <w:t>96</w:t>
            </w:r>
            <w:r>
              <w:rPr>
                <w:lang w:val="en-US"/>
              </w:rPr>
              <w:t>.</w:t>
            </w:r>
            <w:r w:rsidRPr="00440BB7">
              <w:t>2±16</w:t>
            </w:r>
            <w:r>
              <w:rPr>
                <w:lang w:val="en-US"/>
              </w:rPr>
              <w:t>.</w:t>
            </w:r>
            <w:r w:rsidRPr="00440BB7">
              <w:t>0</w:t>
            </w:r>
            <w:r w:rsidRPr="00440BB7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1200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90</w:t>
            </w:r>
            <w:r>
              <w:rPr>
                <w:lang w:val="en-US"/>
              </w:rPr>
              <w:t>.</w:t>
            </w:r>
            <w:r w:rsidRPr="00440BB7">
              <w:t>2±13</w:t>
            </w:r>
            <w:r>
              <w:rPr>
                <w:lang w:val="en-US"/>
              </w:rPr>
              <w:t>.</w:t>
            </w:r>
            <w:r w:rsidRPr="00440BB7">
              <w:t>7</w:t>
            </w:r>
          </w:p>
        </w:tc>
        <w:tc>
          <w:tcPr>
            <w:tcW w:w="1320" w:type="dxa"/>
          </w:tcPr>
          <w:p w:rsidR="00DD4EE4" w:rsidRPr="00440BB7" w:rsidRDefault="00DD4EE4" w:rsidP="00AF273B">
            <w:pPr>
              <w:pStyle w:val="1"/>
              <w:spacing w:line="360" w:lineRule="auto"/>
            </w:pPr>
            <w:r w:rsidRPr="00440BB7">
              <w:t>108</w:t>
            </w:r>
            <w:r>
              <w:rPr>
                <w:lang w:val="en-US"/>
              </w:rPr>
              <w:t>.</w:t>
            </w:r>
            <w:r w:rsidRPr="00440BB7">
              <w:t>3±14</w:t>
            </w:r>
            <w:r>
              <w:rPr>
                <w:lang w:val="en-US"/>
              </w:rPr>
              <w:t>.</w:t>
            </w:r>
            <w:r w:rsidRPr="00440BB7">
              <w:t>4</w:t>
            </w:r>
          </w:p>
        </w:tc>
        <w:tc>
          <w:tcPr>
            <w:tcW w:w="1200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en-US"/>
              </w:rPr>
            </w:pPr>
            <w:r w:rsidRPr="00440BB7">
              <w:t>115</w:t>
            </w:r>
            <w:r>
              <w:rPr>
                <w:lang w:val="en-US"/>
              </w:rPr>
              <w:t>.</w:t>
            </w:r>
            <w:r w:rsidRPr="00440BB7">
              <w:t>±18</w:t>
            </w:r>
            <w:r>
              <w:rPr>
                <w:lang w:val="en-US"/>
              </w:rPr>
              <w:t>.</w:t>
            </w:r>
            <w:r w:rsidRPr="00440BB7">
              <w:t>9</w:t>
            </w:r>
          </w:p>
        </w:tc>
        <w:tc>
          <w:tcPr>
            <w:tcW w:w="1211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110</w:t>
            </w:r>
            <w:r>
              <w:rPr>
                <w:lang w:val="en-US"/>
              </w:rPr>
              <w:t>.</w:t>
            </w:r>
            <w:r w:rsidRPr="00440BB7">
              <w:t>9±13</w:t>
            </w:r>
            <w:r>
              <w:rPr>
                <w:lang w:val="en-US"/>
              </w:rPr>
              <w:t>.</w:t>
            </w:r>
            <w:r w:rsidRPr="00440BB7">
              <w:t>0</w:t>
            </w:r>
          </w:p>
        </w:tc>
      </w:tr>
      <w:tr w:rsidR="00DD4EE4" w:rsidRPr="002A2F41" w:rsidTr="00AF273B">
        <w:trPr>
          <w:trHeight w:val="480"/>
          <w:jc w:val="center"/>
        </w:trPr>
        <w:tc>
          <w:tcPr>
            <w:tcW w:w="1276" w:type="dxa"/>
          </w:tcPr>
          <w:p w:rsidR="00DD4EE4" w:rsidRPr="00440BB7" w:rsidRDefault="00DD4EE4" w:rsidP="00AF273B">
            <w:pPr>
              <w:pStyle w:val="1"/>
              <w:spacing w:line="360" w:lineRule="auto"/>
            </w:pPr>
            <w:r w:rsidRPr="00440BB7">
              <w:rPr>
                <w:lang w:val="en-US"/>
              </w:rPr>
              <w:t>A+B-variant</w:t>
            </w:r>
          </w:p>
          <w:p w:rsidR="00DD4EE4" w:rsidRPr="00440BB7" w:rsidRDefault="00DD4EE4" w:rsidP="00AF273B">
            <w:pPr>
              <w:pStyle w:val="1"/>
              <w:spacing w:line="360" w:lineRule="auto"/>
            </w:pPr>
            <w:r w:rsidRPr="00440BB7">
              <w:t>(</w:t>
            </w:r>
            <w:r w:rsidRPr="00440BB7">
              <w:rPr>
                <w:lang w:val="en-US"/>
              </w:rPr>
              <w:t>n=17</w:t>
            </w:r>
            <w:r w:rsidRPr="00440BB7">
              <w:t>)</w:t>
            </w:r>
          </w:p>
        </w:tc>
        <w:tc>
          <w:tcPr>
            <w:tcW w:w="1276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131</w:t>
            </w:r>
            <w:r w:rsidRPr="00440BB7">
              <w:rPr>
                <w:lang w:val="en-US"/>
              </w:rPr>
              <w:t>.2±15.3</w:t>
            </w:r>
          </w:p>
        </w:tc>
        <w:tc>
          <w:tcPr>
            <w:tcW w:w="1382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12</w:t>
            </w:r>
            <w:r w:rsidRPr="00440BB7">
              <w:rPr>
                <w:lang w:val="en-US"/>
              </w:rPr>
              <w:t>8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7±16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6</w:t>
            </w:r>
          </w:p>
        </w:tc>
        <w:tc>
          <w:tcPr>
            <w:tcW w:w="1200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99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5±11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2</w:t>
            </w:r>
          </w:p>
        </w:tc>
        <w:tc>
          <w:tcPr>
            <w:tcW w:w="1200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95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1±12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2</w:t>
            </w:r>
          </w:p>
        </w:tc>
        <w:tc>
          <w:tcPr>
            <w:tcW w:w="1320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115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4±9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7</w:t>
            </w:r>
          </w:p>
        </w:tc>
        <w:tc>
          <w:tcPr>
            <w:tcW w:w="1200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128</w:t>
            </w:r>
            <w:r w:rsidRPr="00440BB7">
              <w:rPr>
                <w:lang w:val="en-US"/>
              </w:rPr>
              <w:t>,4±16,9</w:t>
            </w:r>
          </w:p>
        </w:tc>
        <w:tc>
          <w:tcPr>
            <w:tcW w:w="1211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rPr>
                <w:lang w:val="en-US"/>
              </w:rPr>
              <w:t>107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0±18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0</w:t>
            </w:r>
          </w:p>
        </w:tc>
      </w:tr>
      <w:tr w:rsidR="00DD4EE4" w:rsidRPr="002A2F41" w:rsidTr="00AF273B">
        <w:trPr>
          <w:trHeight w:val="480"/>
          <w:jc w:val="center"/>
        </w:trPr>
        <w:tc>
          <w:tcPr>
            <w:tcW w:w="1276" w:type="dxa"/>
          </w:tcPr>
          <w:p w:rsidR="00DD4EE4" w:rsidRPr="00440BB7" w:rsidRDefault="00DD4EE4" w:rsidP="00AF273B">
            <w:pPr>
              <w:pStyle w:val="1"/>
              <w:spacing w:line="360" w:lineRule="auto"/>
            </w:pPr>
            <w:r w:rsidRPr="00440BB7">
              <w:rPr>
                <w:lang w:val="en-US"/>
              </w:rPr>
              <w:t>A+</w:t>
            </w:r>
            <w:r>
              <w:rPr>
                <w:lang w:val="en-US"/>
              </w:rPr>
              <w:t>C</w:t>
            </w:r>
            <w:r w:rsidRPr="00440BB7">
              <w:rPr>
                <w:lang w:val="en-US"/>
              </w:rPr>
              <w:t>-variant</w:t>
            </w:r>
          </w:p>
          <w:p w:rsidR="00DD4EE4" w:rsidRPr="00440BB7" w:rsidRDefault="00DD4EE4" w:rsidP="00AF273B">
            <w:pPr>
              <w:pStyle w:val="1"/>
              <w:spacing w:line="360" w:lineRule="auto"/>
              <w:rPr>
                <w:lang w:val="en-US"/>
              </w:rPr>
            </w:pPr>
            <w:r w:rsidRPr="00440BB7">
              <w:rPr>
                <w:lang w:val="en-US"/>
              </w:rPr>
              <w:t>(n=53)</w:t>
            </w:r>
          </w:p>
        </w:tc>
        <w:tc>
          <w:tcPr>
            <w:tcW w:w="1276" w:type="dxa"/>
          </w:tcPr>
          <w:p w:rsidR="00DD4EE4" w:rsidRPr="005352A2" w:rsidRDefault="00DD4EE4" w:rsidP="00AF273B">
            <w:pPr>
              <w:pStyle w:val="1"/>
              <w:spacing w:line="360" w:lineRule="auto"/>
              <w:rPr>
                <w:lang w:val="en-US"/>
              </w:rPr>
            </w:pPr>
            <w:r w:rsidRPr="005352A2">
              <w:t>13</w:t>
            </w:r>
            <w:r w:rsidRPr="005352A2">
              <w:rPr>
                <w:lang w:val="en-US"/>
              </w:rPr>
              <w:t>9.9±16.1</w:t>
            </w:r>
          </w:p>
          <w:p w:rsidR="00DD4EE4" w:rsidRPr="00440BB7" w:rsidRDefault="00DD4EE4" w:rsidP="00AF273B">
            <w:pPr>
              <w:pStyle w:val="1"/>
              <w:spacing w:line="360" w:lineRule="auto"/>
              <w:rPr>
                <w:b/>
                <w:bCs/>
                <w:lang w:val="uk-UA"/>
              </w:rPr>
            </w:pPr>
          </w:p>
        </w:tc>
        <w:tc>
          <w:tcPr>
            <w:tcW w:w="1382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132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2±14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8</w:t>
            </w:r>
          </w:p>
        </w:tc>
        <w:tc>
          <w:tcPr>
            <w:tcW w:w="1200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99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5±11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9</w:t>
            </w:r>
          </w:p>
        </w:tc>
        <w:tc>
          <w:tcPr>
            <w:tcW w:w="1200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95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1±11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8</w:t>
            </w:r>
          </w:p>
        </w:tc>
        <w:tc>
          <w:tcPr>
            <w:tcW w:w="1320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109</w:t>
            </w:r>
            <w:r>
              <w:rPr>
                <w:lang w:val="en-US"/>
              </w:rPr>
              <w:t>,</w:t>
            </w:r>
            <w:r w:rsidRPr="00440BB7">
              <w:rPr>
                <w:lang w:val="en-US"/>
              </w:rPr>
              <w:t>5±11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9</w:t>
            </w:r>
          </w:p>
        </w:tc>
        <w:tc>
          <w:tcPr>
            <w:tcW w:w="1200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127</w:t>
            </w:r>
            <w:r w:rsidRPr="00440BB7">
              <w:rPr>
                <w:lang w:val="en-US"/>
              </w:rPr>
              <w:t>,2±16,0</w:t>
            </w:r>
          </w:p>
        </w:tc>
        <w:tc>
          <w:tcPr>
            <w:tcW w:w="1211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rPr>
                <w:lang w:val="en-US"/>
              </w:rPr>
              <w:t>110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8±13.1</w:t>
            </w:r>
          </w:p>
        </w:tc>
      </w:tr>
      <w:tr w:rsidR="00DD4EE4" w:rsidRPr="002A2F41" w:rsidTr="00AF273B">
        <w:trPr>
          <w:trHeight w:val="480"/>
          <w:jc w:val="center"/>
        </w:trPr>
        <w:tc>
          <w:tcPr>
            <w:tcW w:w="1276" w:type="dxa"/>
          </w:tcPr>
          <w:p w:rsidR="00DD4EE4" w:rsidRPr="0046210B" w:rsidRDefault="00DD4EE4" w:rsidP="00AF273B">
            <w:pPr>
              <w:pStyle w:val="1"/>
              <w:spacing w:line="360" w:lineRule="auto"/>
              <w:rPr>
                <w:lang w:val="en-US"/>
              </w:rPr>
            </w:pPr>
            <w:r w:rsidRPr="00440BB7">
              <w:rPr>
                <w:lang w:val="en-US"/>
              </w:rPr>
              <w:t>A+B+C-variant</w:t>
            </w:r>
            <w:r w:rsidRPr="0046210B">
              <w:rPr>
                <w:lang w:val="en-US"/>
              </w:rPr>
              <w:t xml:space="preserve"> </w:t>
            </w:r>
          </w:p>
          <w:p w:rsidR="00DD4EE4" w:rsidRPr="0046210B" w:rsidRDefault="00DD4EE4" w:rsidP="00AF273B">
            <w:pPr>
              <w:pStyle w:val="1"/>
              <w:spacing w:line="360" w:lineRule="auto"/>
              <w:rPr>
                <w:lang w:val="en-US"/>
              </w:rPr>
            </w:pPr>
            <w:r w:rsidRPr="0046210B">
              <w:rPr>
                <w:lang w:val="en-US"/>
              </w:rPr>
              <w:t>(</w:t>
            </w:r>
            <w:r w:rsidRPr="00440BB7">
              <w:rPr>
                <w:lang w:val="en-US"/>
              </w:rPr>
              <w:t>n</w:t>
            </w:r>
            <w:r w:rsidRPr="0046210B">
              <w:rPr>
                <w:lang w:val="en-US"/>
              </w:rPr>
              <w:t>=21)</w:t>
            </w:r>
          </w:p>
        </w:tc>
        <w:tc>
          <w:tcPr>
            <w:tcW w:w="1276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140</w:t>
            </w:r>
            <w:r w:rsidRPr="00440BB7">
              <w:rPr>
                <w:lang w:val="en-US"/>
              </w:rPr>
              <w:t>.4±12.1</w:t>
            </w:r>
          </w:p>
        </w:tc>
        <w:tc>
          <w:tcPr>
            <w:tcW w:w="1382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131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3±15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9</w:t>
            </w:r>
          </w:p>
        </w:tc>
        <w:tc>
          <w:tcPr>
            <w:tcW w:w="1200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103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1±14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6</w:t>
            </w:r>
          </w:p>
        </w:tc>
        <w:tc>
          <w:tcPr>
            <w:tcW w:w="1200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96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1±9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2</w:t>
            </w:r>
          </w:p>
        </w:tc>
        <w:tc>
          <w:tcPr>
            <w:tcW w:w="1320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116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3±9</w:t>
            </w:r>
            <w:r>
              <w:rPr>
                <w:lang w:val="en-US"/>
              </w:rPr>
              <w:t>,</w:t>
            </w:r>
            <w:r w:rsidRPr="00440BB7">
              <w:rPr>
                <w:lang w:val="en-US"/>
              </w:rPr>
              <w:t>8</w:t>
            </w:r>
          </w:p>
        </w:tc>
        <w:tc>
          <w:tcPr>
            <w:tcW w:w="1200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131,</w:t>
            </w:r>
            <w:r w:rsidRPr="00440BB7">
              <w:rPr>
                <w:lang w:val="en-US"/>
              </w:rPr>
              <w:t>5±18</w:t>
            </w:r>
            <w:r w:rsidRPr="00440BB7">
              <w:t>,</w:t>
            </w:r>
            <w:r w:rsidRPr="00440BB7">
              <w:rPr>
                <w:lang w:val="en-US"/>
              </w:rPr>
              <w:t>6</w:t>
            </w:r>
          </w:p>
        </w:tc>
        <w:tc>
          <w:tcPr>
            <w:tcW w:w="1211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rPr>
                <w:lang w:val="en-US"/>
              </w:rPr>
              <w:t>120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0±10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9</w:t>
            </w:r>
          </w:p>
        </w:tc>
      </w:tr>
      <w:tr w:rsidR="00DD4EE4" w:rsidRPr="002A2F41" w:rsidTr="00AF273B">
        <w:trPr>
          <w:trHeight w:val="519"/>
          <w:jc w:val="center"/>
        </w:trPr>
        <w:tc>
          <w:tcPr>
            <w:tcW w:w="1276" w:type="dxa"/>
          </w:tcPr>
          <w:p w:rsidR="00DD4EE4" w:rsidRPr="00440BB7" w:rsidRDefault="00DD4EE4" w:rsidP="00AF273B">
            <w:pPr>
              <w:pStyle w:val="1"/>
              <w:spacing w:line="360" w:lineRule="auto"/>
            </w:pPr>
            <w:r>
              <w:rPr>
                <w:lang w:val="en-US"/>
              </w:rPr>
              <w:t>C</w:t>
            </w:r>
            <w:r w:rsidRPr="00440BB7">
              <w:rPr>
                <w:lang w:val="en-US"/>
              </w:rPr>
              <w:t>-variant</w:t>
            </w:r>
            <w:r w:rsidRPr="00440BB7">
              <w:t xml:space="preserve"> </w:t>
            </w:r>
          </w:p>
          <w:p w:rsidR="00DD4EE4" w:rsidRPr="00440BB7" w:rsidRDefault="00DD4EE4" w:rsidP="00AF273B">
            <w:pPr>
              <w:pStyle w:val="1"/>
              <w:spacing w:line="360" w:lineRule="auto"/>
              <w:rPr>
                <w:lang w:val="en-US"/>
              </w:rPr>
            </w:pPr>
            <w:r w:rsidRPr="00440BB7">
              <w:rPr>
                <w:lang w:val="en-US"/>
              </w:rPr>
              <w:t>(n=24)</w:t>
            </w:r>
          </w:p>
        </w:tc>
        <w:tc>
          <w:tcPr>
            <w:tcW w:w="1276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133</w:t>
            </w:r>
            <w:r w:rsidRPr="00440BB7">
              <w:rPr>
                <w:lang w:val="en-US"/>
              </w:rPr>
              <w:t>.8±11</w:t>
            </w:r>
            <w:r w:rsidRPr="00440BB7">
              <w:t>,</w:t>
            </w:r>
            <w:r w:rsidRPr="00440BB7">
              <w:rPr>
                <w:lang w:val="en-US"/>
              </w:rPr>
              <w:t>8</w:t>
            </w:r>
          </w:p>
        </w:tc>
        <w:tc>
          <w:tcPr>
            <w:tcW w:w="1382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13</w:t>
            </w:r>
            <w:r w:rsidRPr="00440BB7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9±17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6</w:t>
            </w:r>
          </w:p>
        </w:tc>
        <w:tc>
          <w:tcPr>
            <w:tcW w:w="1200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9</w:t>
            </w:r>
            <w:r w:rsidRPr="00440BB7">
              <w:rPr>
                <w:lang w:val="en-US"/>
              </w:rPr>
              <w:t>8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7±10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5</w:t>
            </w:r>
          </w:p>
        </w:tc>
        <w:tc>
          <w:tcPr>
            <w:tcW w:w="1200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93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4±10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4</w:t>
            </w:r>
          </w:p>
        </w:tc>
        <w:tc>
          <w:tcPr>
            <w:tcW w:w="1320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110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4±8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1</w:t>
            </w:r>
          </w:p>
        </w:tc>
        <w:tc>
          <w:tcPr>
            <w:tcW w:w="1200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t>12</w:t>
            </w:r>
            <w:r w:rsidRPr="00440BB7">
              <w:rPr>
                <w:lang w:val="en-US"/>
              </w:rPr>
              <w:t>4</w:t>
            </w:r>
            <w:r w:rsidRPr="00440BB7">
              <w:t>,</w:t>
            </w:r>
            <w:r w:rsidRPr="00440BB7">
              <w:rPr>
                <w:lang w:val="en-US"/>
              </w:rPr>
              <w:t>6±19</w:t>
            </w:r>
            <w:r w:rsidRPr="00440BB7">
              <w:t>,</w:t>
            </w:r>
            <w:r w:rsidRPr="00440BB7">
              <w:rPr>
                <w:lang w:val="en-US"/>
              </w:rPr>
              <w:t>5</w:t>
            </w:r>
          </w:p>
        </w:tc>
        <w:tc>
          <w:tcPr>
            <w:tcW w:w="1211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uk-UA"/>
              </w:rPr>
            </w:pPr>
            <w:r w:rsidRPr="00440BB7">
              <w:rPr>
                <w:lang w:val="en-US"/>
              </w:rPr>
              <w:t>109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1±11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1</w:t>
            </w:r>
          </w:p>
        </w:tc>
      </w:tr>
      <w:tr w:rsidR="00DD4EE4" w:rsidRPr="002A2F41" w:rsidTr="00AF273B">
        <w:trPr>
          <w:trHeight w:val="519"/>
          <w:jc w:val="center"/>
        </w:trPr>
        <w:tc>
          <w:tcPr>
            <w:tcW w:w="1276" w:type="dxa"/>
          </w:tcPr>
          <w:p w:rsidR="00DD4EE4" w:rsidRPr="00440BB7" w:rsidRDefault="00DD4EE4" w:rsidP="00AF273B">
            <w:pPr>
              <w:pStyle w:val="1"/>
              <w:spacing w:line="360" w:lineRule="auto"/>
            </w:pPr>
            <w:r w:rsidRPr="00440BB7">
              <w:rPr>
                <w:lang w:val="en-US"/>
              </w:rPr>
              <w:t xml:space="preserve">Control group </w:t>
            </w:r>
            <w:r w:rsidRPr="00440BB7">
              <w:t>(n=90)</w:t>
            </w:r>
          </w:p>
        </w:tc>
        <w:tc>
          <w:tcPr>
            <w:tcW w:w="1276" w:type="dxa"/>
          </w:tcPr>
          <w:p w:rsidR="00DD4EE4" w:rsidRPr="00440BB7" w:rsidRDefault="00DD4EE4" w:rsidP="00AF273B">
            <w:pPr>
              <w:pStyle w:val="1"/>
              <w:spacing w:line="360" w:lineRule="auto"/>
            </w:pPr>
            <w:r w:rsidRPr="00440BB7">
              <w:t>136,0±15,7</w:t>
            </w:r>
          </w:p>
        </w:tc>
        <w:tc>
          <w:tcPr>
            <w:tcW w:w="1382" w:type="dxa"/>
          </w:tcPr>
          <w:p w:rsidR="00DD4EE4" w:rsidRPr="00440BB7" w:rsidRDefault="00DD4EE4" w:rsidP="00AF273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40BB7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  <w:lang w:val="en-US"/>
              </w:rPr>
              <w:t>.</w:t>
            </w:r>
            <w:r w:rsidRPr="00440BB7">
              <w:rPr>
                <w:sz w:val="20"/>
                <w:szCs w:val="20"/>
                <w:lang w:val="en-US"/>
              </w:rPr>
              <w:t>1±11</w:t>
            </w:r>
            <w:r>
              <w:rPr>
                <w:sz w:val="20"/>
                <w:szCs w:val="20"/>
                <w:lang w:val="en-US"/>
              </w:rPr>
              <w:t>.</w:t>
            </w:r>
            <w:r w:rsidRPr="00440BB7">
              <w:rPr>
                <w:sz w:val="20"/>
                <w:szCs w:val="20"/>
                <w:lang w:val="en-US"/>
              </w:rPr>
              <w:t>7</w:t>
            </w:r>
          </w:p>
          <w:p w:rsidR="00DD4EE4" w:rsidRPr="00440BB7" w:rsidRDefault="00DD4EE4" w:rsidP="00AF273B">
            <w:pPr>
              <w:pStyle w:val="1"/>
              <w:spacing w:line="360" w:lineRule="auto"/>
              <w:ind w:firstLine="709"/>
              <w:jc w:val="center"/>
            </w:pPr>
          </w:p>
        </w:tc>
        <w:tc>
          <w:tcPr>
            <w:tcW w:w="1200" w:type="dxa"/>
          </w:tcPr>
          <w:p w:rsidR="00DD4EE4" w:rsidRPr="00440BB7" w:rsidRDefault="00DD4EE4" w:rsidP="00AF273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40BB7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>.</w:t>
            </w:r>
            <w:r w:rsidRPr="00440BB7">
              <w:rPr>
                <w:sz w:val="20"/>
                <w:szCs w:val="20"/>
                <w:lang w:val="en-US"/>
              </w:rPr>
              <w:t>1±12</w:t>
            </w:r>
            <w:r>
              <w:rPr>
                <w:sz w:val="20"/>
                <w:szCs w:val="20"/>
                <w:lang w:val="en-US"/>
              </w:rPr>
              <w:t>.</w:t>
            </w:r>
            <w:r w:rsidRPr="00440BB7">
              <w:rPr>
                <w:sz w:val="20"/>
                <w:szCs w:val="20"/>
                <w:lang w:val="en-US"/>
              </w:rPr>
              <w:t>5</w:t>
            </w:r>
          </w:p>
          <w:p w:rsidR="00DD4EE4" w:rsidRPr="00440BB7" w:rsidRDefault="00DD4EE4" w:rsidP="00AF273B">
            <w:pPr>
              <w:pStyle w:val="1"/>
              <w:spacing w:line="360" w:lineRule="auto"/>
              <w:ind w:firstLine="709"/>
              <w:jc w:val="center"/>
            </w:pPr>
          </w:p>
        </w:tc>
        <w:tc>
          <w:tcPr>
            <w:tcW w:w="1200" w:type="dxa"/>
          </w:tcPr>
          <w:p w:rsidR="00DD4EE4" w:rsidRPr="00440BB7" w:rsidRDefault="00DD4EE4" w:rsidP="00AF273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40BB7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  <w:lang w:val="en-US"/>
              </w:rPr>
              <w:t>.</w:t>
            </w:r>
            <w:r w:rsidRPr="00440BB7">
              <w:rPr>
                <w:sz w:val="20"/>
                <w:szCs w:val="20"/>
                <w:lang w:val="en-US"/>
              </w:rPr>
              <w:t>2±11</w:t>
            </w:r>
            <w:r>
              <w:rPr>
                <w:sz w:val="20"/>
                <w:szCs w:val="20"/>
                <w:lang w:val="en-US"/>
              </w:rPr>
              <w:t>.</w:t>
            </w:r>
            <w:r w:rsidRPr="00440BB7">
              <w:rPr>
                <w:sz w:val="20"/>
                <w:szCs w:val="20"/>
                <w:lang w:val="en-US"/>
              </w:rPr>
              <w:t>4</w:t>
            </w:r>
          </w:p>
          <w:p w:rsidR="00DD4EE4" w:rsidRPr="00440BB7" w:rsidRDefault="00DD4EE4" w:rsidP="00AF273B">
            <w:pPr>
              <w:pStyle w:val="1"/>
              <w:spacing w:line="360" w:lineRule="auto"/>
              <w:ind w:firstLine="709"/>
              <w:jc w:val="center"/>
            </w:pPr>
          </w:p>
        </w:tc>
        <w:tc>
          <w:tcPr>
            <w:tcW w:w="1320" w:type="dxa"/>
          </w:tcPr>
          <w:p w:rsidR="00DD4EE4" w:rsidRPr="00440BB7" w:rsidRDefault="00DD4EE4" w:rsidP="00AF273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40BB7">
              <w:rPr>
                <w:sz w:val="20"/>
                <w:szCs w:val="20"/>
              </w:rPr>
              <w:t>10</w:t>
            </w:r>
            <w:r w:rsidRPr="00440BB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 w:rsidRPr="00440BB7">
              <w:rPr>
                <w:sz w:val="20"/>
                <w:szCs w:val="20"/>
                <w:lang w:val="en-US"/>
              </w:rPr>
              <w:t>9±12</w:t>
            </w:r>
            <w:r>
              <w:rPr>
                <w:sz w:val="20"/>
                <w:szCs w:val="20"/>
                <w:lang w:val="en-US"/>
              </w:rPr>
              <w:t>.</w:t>
            </w:r>
            <w:r w:rsidRPr="00440BB7">
              <w:rPr>
                <w:sz w:val="20"/>
                <w:szCs w:val="20"/>
                <w:lang w:val="en-US"/>
              </w:rPr>
              <w:t>0</w:t>
            </w:r>
          </w:p>
          <w:p w:rsidR="00DD4EE4" w:rsidRPr="00440BB7" w:rsidRDefault="00DD4EE4" w:rsidP="00AF273B">
            <w:pPr>
              <w:pStyle w:val="1"/>
              <w:spacing w:line="360" w:lineRule="auto"/>
              <w:ind w:firstLine="709"/>
              <w:jc w:val="center"/>
            </w:pPr>
          </w:p>
        </w:tc>
        <w:tc>
          <w:tcPr>
            <w:tcW w:w="1200" w:type="dxa"/>
          </w:tcPr>
          <w:p w:rsidR="00DD4EE4" w:rsidRPr="00440BB7" w:rsidRDefault="00DD4EE4" w:rsidP="00AF273B">
            <w:pPr>
              <w:spacing w:line="360" w:lineRule="auto"/>
              <w:rPr>
                <w:sz w:val="20"/>
                <w:szCs w:val="20"/>
              </w:rPr>
            </w:pPr>
            <w:r w:rsidRPr="00440BB7">
              <w:rPr>
                <w:sz w:val="20"/>
                <w:szCs w:val="20"/>
                <w:lang w:val="en-US"/>
              </w:rPr>
              <w:t>111,1±</w:t>
            </w:r>
            <w:r w:rsidRPr="00440BB7">
              <w:rPr>
                <w:sz w:val="20"/>
                <w:szCs w:val="20"/>
              </w:rPr>
              <w:t>9,8</w:t>
            </w:r>
          </w:p>
          <w:p w:rsidR="00DD4EE4" w:rsidRPr="00440BB7" w:rsidRDefault="00DD4EE4" w:rsidP="00AF273B">
            <w:pPr>
              <w:pStyle w:val="1"/>
              <w:spacing w:line="360" w:lineRule="auto"/>
              <w:ind w:firstLine="709"/>
              <w:jc w:val="center"/>
            </w:pPr>
          </w:p>
        </w:tc>
        <w:tc>
          <w:tcPr>
            <w:tcW w:w="1211" w:type="dxa"/>
          </w:tcPr>
          <w:p w:rsidR="00DD4EE4" w:rsidRPr="00440BB7" w:rsidRDefault="00DD4EE4" w:rsidP="00AF273B">
            <w:pPr>
              <w:pStyle w:val="1"/>
              <w:spacing w:line="360" w:lineRule="auto"/>
              <w:rPr>
                <w:lang w:val="en-US"/>
              </w:rPr>
            </w:pPr>
            <w:r w:rsidRPr="00440BB7">
              <w:rPr>
                <w:lang w:val="en-US"/>
              </w:rPr>
              <w:t>11</w:t>
            </w:r>
            <w:r w:rsidRPr="00440BB7">
              <w:t>1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8±14</w:t>
            </w:r>
            <w:r>
              <w:rPr>
                <w:lang w:val="en-US"/>
              </w:rPr>
              <w:t>.</w:t>
            </w:r>
            <w:r w:rsidRPr="00440BB7">
              <w:rPr>
                <w:lang w:val="en-US"/>
              </w:rPr>
              <w:t>7</w:t>
            </w:r>
          </w:p>
        </w:tc>
      </w:tr>
    </w:tbl>
    <w:p w:rsidR="00DD4EE4" w:rsidRPr="00A4434E" w:rsidRDefault="00DD4EE4" w:rsidP="00DD4E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0"/>
          <w:szCs w:val="20"/>
          <w:lang w:val="en-US"/>
        </w:rPr>
      </w:pPr>
    </w:p>
    <w:p w:rsidR="00DD4EE4" w:rsidRPr="0046210B" w:rsidRDefault="00DD4EE4" w:rsidP="00DD4E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rFonts w:eastAsia="MS Mincho"/>
          <w:sz w:val="28"/>
          <w:szCs w:val="28"/>
          <w:lang w:val="en-US"/>
        </w:rPr>
        <w:t xml:space="preserve">The Table 5 shows the hemoglobin levels to be adequate at each correction stage; it guarantees the safe level of the blood oxygen capacity confirmed by the absence of </w:t>
      </w:r>
      <w:proofErr w:type="spellStart"/>
      <w:r>
        <w:rPr>
          <w:rFonts w:eastAsia="MS Mincho"/>
          <w:sz w:val="28"/>
          <w:szCs w:val="28"/>
          <w:lang w:val="en-US"/>
        </w:rPr>
        <w:t>polyorganic</w:t>
      </w:r>
      <w:proofErr w:type="spellEnd"/>
      <w:r>
        <w:rPr>
          <w:rFonts w:eastAsia="MS Mincho"/>
          <w:sz w:val="28"/>
          <w:szCs w:val="28"/>
          <w:lang w:val="en-US"/>
        </w:rPr>
        <w:t xml:space="preserve"> insufficiency and clinically important complications during the hospital stage</w:t>
      </w:r>
      <w:r w:rsidRPr="0046210B">
        <w:rPr>
          <w:sz w:val="28"/>
          <w:szCs w:val="28"/>
          <w:lang w:val="en-US"/>
        </w:rPr>
        <w:t>.</w:t>
      </w:r>
    </w:p>
    <w:p w:rsidR="00DD4EE4" w:rsidRPr="0046210B" w:rsidRDefault="00DD4EE4" w:rsidP="00DD4EE4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Conclusions</w:t>
      </w:r>
      <w:r w:rsidRPr="0046210B">
        <w:rPr>
          <w:b/>
          <w:bCs/>
          <w:color w:val="000000"/>
          <w:sz w:val="28"/>
          <w:szCs w:val="28"/>
          <w:lang w:val="en-US"/>
        </w:rPr>
        <w:t>.</w:t>
      </w:r>
      <w:proofErr w:type="gramEnd"/>
      <w:r w:rsidRPr="0046210B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 method of surgical interventions without donor blood transfusions described above was introduced into the routine clinical practice for the MVD correction in the CPB conditions; thus, we obtained a good clinical efficacy without any transfusion-caused complications at the hospital stage</w:t>
      </w:r>
      <w:r w:rsidRPr="0046210B">
        <w:rPr>
          <w:color w:val="000000"/>
          <w:sz w:val="28"/>
          <w:szCs w:val="28"/>
          <w:lang w:val="en-US"/>
        </w:rPr>
        <w:t xml:space="preserve"> [8-14]. </w:t>
      </w:r>
      <w:r>
        <w:rPr>
          <w:color w:val="000000"/>
          <w:sz w:val="28"/>
          <w:szCs w:val="28"/>
          <w:lang w:val="en-US"/>
        </w:rPr>
        <w:t xml:space="preserve">The probability of this approach use lowers in patients whose weight is below 60 kg as well as in patients with anemia, with hemoglobin levels </w:t>
      </w:r>
      <w:r w:rsidRPr="0046210B">
        <w:rPr>
          <w:color w:val="000000"/>
          <w:sz w:val="28"/>
          <w:szCs w:val="28"/>
          <w:lang w:val="en-US"/>
        </w:rPr>
        <w:t>110 </w:t>
      </w:r>
      <w:r>
        <w:rPr>
          <w:color w:val="000000"/>
          <w:sz w:val="28"/>
          <w:szCs w:val="28"/>
          <w:lang w:val="en-US"/>
        </w:rPr>
        <w:t>g</w:t>
      </w:r>
      <w:r w:rsidRPr="0046210B">
        <w:rPr>
          <w:color w:val="000000"/>
          <w:sz w:val="28"/>
          <w:szCs w:val="28"/>
          <w:lang w:val="en-US"/>
        </w:rPr>
        <w:t>/</w:t>
      </w:r>
      <w:r>
        <w:rPr>
          <w:color w:val="000000"/>
          <w:sz w:val="28"/>
          <w:szCs w:val="28"/>
          <w:lang w:val="en-US"/>
        </w:rPr>
        <w:t xml:space="preserve">l and below, and in patients aged above </w:t>
      </w:r>
      <w:r w:rsidRPr="0046210B">
        <w:rPr>
          <w:color w:val="000000"/>
          <w:sz w:val="28"/>
          <w:szCs w:val="28"/>
          <w:lang w:val="en-US"/>
        </w:rPr>
        <w:t>65.</w:t>
      </w:r>
      <w:r>
        <w:rPr>
          <w:color w:val="000000"/>
          <w:sz w:val="28"/>
          <w:szCs w:val="28"/>
          <w:lang w:val="en-US"/>
        </w:rPr>
        <w:t xml:space="preserve"> The method of surgical interventions without donor blood transfusions should be used with precautions in cases of </w:t>
      </w:r>
      <w:proofErr w:type="spellStart"/>
      <w:r>
        <w:rPr>
          <w:color w:val="000000"/>
          <w:sz w:val="28"/>
          <w:szCs w:val="28"/>
          <w:lang w:val="en-US"/>
        </w:rPr>
        <w:t>polyorganic</w:t>
      </w:r>
      <w:proofErr w:type="spellEnd"/>
      <w:r>
        <w:rPr>
          <w:color w:val="000000"/>
          <w:sz w:val="28"/>
          <w:szCs w:val="28"/>
          <w:lang w:val="en-US"/>
        </w:rPr>
        <w:t xml:space="preserve"> insufficiency as well as in cases of initial considerable brain damage following </w:t>
      </w:r>
      <w:proofErr w:type="gramStart"/>
      <w:r>
        <w:rPr>
          <w:color w:val="000000"/>
          <w:sz w:val="28"/>
          <w:szCs w:val="28"/>
          <w:lang w:val="en-US"/>
        </w:rPr>
        <w:t>the  early</w:t>
      </w:r>
      <w:proofErr w:type="gramEnd"/>
      <w:r>
        <w:rPr>
          <w:color w:val="000000"/>
          <w:sz w:val="28"/>
          <w:szCs w:val="28"/>
          <w:lang w:val="en-US"/>
        </w:rPr>
        <w:t xml:space="preserve"> happened disturbance of the brain circulation</w:t>
      </w:r>
      <w:r w:rsidRPr="0046210B">
        <w:rPr>
          <w:color w:val="000000"/>
          <w:sz w:val="28"/>
          <w:szCs w:val="28"/>
          <w:lang w:val="en-US"/>
        </w:rPr>
        <w:t xml:space="preserve">. </w:t>
      </w:r>
    </w:p>
    <w:p w:rsidR="00DD4EE4" w:rsidRPr="0046210B" w:rsidRDefault="00DD4EE4" w:rsidP="00DD4EE4">
      <w:pPr>
        <w:pStyle w:val="ab"/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Indication criteria for intra-operative autologous blood reserving in cases of surgical MVD correction using the CPB are the following</w:t>
      </w:r>
      <w:r w:rsidRPr="0046210B">
        <w:rPr>
          <w:color w:val="000000"/>
          <w:sz w:val="28"/>
          <w:szCs w:val="28"/>
          <w:lang w:val="en-US"/>
        </w:rPr>
        <w:t>:</w:t>
      </w:r>
    </w:p>
    <w:p w:rsidR="00DD4EE4" w:rsidRPr="0046210B" w:rsidRDefault="00DD4EE4" w:rsidP="00DD4EE4">
      <w:pPr>
        <w:pStyle w:val="ab"/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</w:t>
      </w:r>
      <w:r w:rsidRPr="0046210B">
        <w:rPr>
          <w:color w:val="000000"/>
          <w:sz w:val="28"/>
          <w:szCs w:val="28"/>
          <w:lang w:val="en-US"/>
        </w:rPr>
        <w:t xml:space="preserve">) </w:t>
      </w:r>
      <w:proofErr w:type="gramStart"/>
      <w:r>
        <w:rPr>
          <w:color w:val="000000"/>
          <w:sz w:val="28"/>
          <w:szCs w:val="28"/>
          <w:lang w:val="en-US"/>
        </w:rPr>
        <w:t>anamnesis</w:t>
      </w:r>
      <w:proofErr w:type="gramEnd"/>
      <w:r>
        <w:rPr>
          <w:color w:val="000000"/>
          <w:sz w:val="28"/>
          <w:szCs w:val="28"/>
          <w:lang w:val="en-US"/>
        </w:rPr>
        <w:t xml:space="preserve"> data – absence in the case history of any information concerning anemia and withdrawal of drugs influencing on the blood clotting 7 days before operation</w:t>
      </w:r>
      <w:r w:rsidRPr="0046210B">
        <w:rPr>
          <w:color w:val="000000"/>
          <w:sz w:val="28"/>
          <w:szCs w:val="28"/>
          <w:lang w:val="en-US"/>
        </w:rPr>
        <w:t>;</w:t>
      </w:r>
    </w:p>
    <w:p w:rsidR="00DD4EE4" w:rsidRPr="0046210B" w:rsidRDefault="00DD4EE4" w:rsidP="00DD4EE4">
      <w:pPr>
        <w:pStyle w:val="ab"/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</w:t>
      </w:r>
      <w:r w:rsidRPr="0046210B">
        <w:rPr>
          <w:color w:val="000000"/>
          <w:sz w:val="28"/>
          <w:szCs w:val="28"/>
          <w:lang w:val="en-US"/>
        </w:rPr>
        <w:t xml:space="preserve">) </w:t>
      </w:r>
      <w:proofErr w:type="gramStart"/>
      <w:r>
        <w:rPr>
          <w:color w:val="000000"/>
          <w:sz w:val="28"/>
          <w:szCs w:val="28"/>
          <w:lang w:val="en-US"/>
        </w:rPr>
        <w:t>initial</w:t>
      </w:r>
      <w:proofErr w:type="gramEnd"/>
      <w:r>
        <w:rPr>
          <w:color w:val="000000"/>
          <w:sz w:val="28"/>
          <w:szCs w:val="28"/>
          <w:lang w:val="en-US"/>
        </w:rPr>
        <w:t xml:space="preserve"> laboratory indices concerning hemoglobin (</w:t>
      </w:r>
      <w:r w:rsidRPr="0046210B">
        <w:rPr>
          <w:color w:val="000000"/>
          <w:sz w:val="28"/>
          <w:szCs w:val="28"/>
          <w:lang w:val="en-US"/>
        </w:rPr>
        <w:t xml:space="preserve">≥ 120 </w:t>
      </w:r>
      <w:r>
        <w:rPr>
          <w:color w:val="000000"/>
          <w:sz w:val="28"/>
          <w:szCs w:val="28"/>
          <w:lang w:val="en-US"/>
        </w:rPr>
        <w:t>g</w:t>
      </w:r>
      <w:r w:rsidRPr="0046210B">
        <w:rPr>
          <w:color w:val="000000"/>
          <w:sz w:val="28"/>
          <w:szCs w:val="28"/>
          <w:lang w:val="en-US"/>
        </w:rPr>
        <w:t>/</w:t>
      </w:r>
      <w:r>
        <w:rPr>
          <w:color w:val="000000"/>
          <w:sz w:val="28"/>
          <w:szCs w:val="28"/>
          <w:lang w:val="en-US"/>
        </w:rPr>
        <w:t>l)</w:t>
      </w:r>
      <w:r w:rsidRPr="0046210B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 xml:space="preserve">hematocrit </w:t>
      </w:r>
      <w:r>
        <w:rPr>
          <w:color w:val="000000"/>
          <w:sz w:val="28"/>
          <w:szCs w:val="28"/>
          <w:lang w:val="en-US"/>
        </w:rPr>
        <w:lastRenderedPageBreak/>
        <w:t>(</w:t>
      </w:r>
      <w:r w:rsidRPr="0046210B">
        <w:rPr>
          <w:color w:val="000000"/>
          <w:sz w:val="28"/>
          <w:szCs w:val="28"/>
          <w:lang w:val="en-US"/>
        </w:rPr>
        <w:t>≥ 40</w:t>
      </w:r>
      <w:r>
        <w:rPr>
          <w:color w:val="000000"/>
          <w:sz w:val="28"/>
          <w:szCs w:val="28"/>
          <w:lang w:val="en-US"/>
        </w:rPr>
        <w:t>),  platelets (</w:t>
      </w:r>
      <w:r w:rsidRPr="0046210B">
        <w:rPr>
          <w:color w:val="000000"/>
          <w:sz w:val="28"/>
          <w:szCs w:val="28"/>
          <w:lang w:val="en-US"/>
        </w:rPr>
        <w:t>≥ 170×10</w:t>
      </w:r>
      <w:r w:rsidRPr="0046210B">
        <w:rPr>
          <w:color w:val="000000"/>
          <w:sz w:val="28"/>
          <w:szCs w:val="28"/>
          <w:vertAlign w:val="superscript"/>
          <w:lang w:val="en-US"/>
        </w:rPr>
        <w:t>9</w:t>
      </w:r>
      <w:r w:rsidRPr="0046210B">
        <w:rPr>
          <w:color w:val="000000"/>
          <w:sz w:val="28"/>
          <w:szCs w:val="28"/>
          <w:lang w:val="en-US"/>
        </w:rPr>
        <w:t>/</w:t>
      </w:r>
      <w:r>
        <w:rPr>
          <w:color w:val="000000"/>
          <w:sz w:val="28"/>
          <w:szCs w:val="28"/>
          <w:lang w:val="en-US"/>
        </w:rPr>
        <w:t>l)</w:t>
      </w:r>
      <w:r w:rsidRPr="0046210B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>erythrocytes (</w:t>
      </w:r>
      <w:r w:rsidRPr="0046210B">
        <w:rPr>
          <w:color w:val="000000"/>
          <w:sz w:val="28"/>
          <w:szCs w:val="28"/>
          <w:lang w:val="en-US"/>
        </w:rPr>
        <w:t>≥ 4,0×10</w:t>
      </w:r>
      <w:r w:rsidRPr="0046210B">
        <w:rPr>
          <w:color w:val="000000"/>
          <w:sz w:val="28"/>
          <w:szCs w:val="28"/>
          <w:vertAlign w:val="superscript"/>
          <w:lang w:val="en-US"/>
        </w:rPr>
        <w:t>12</w:t>
      </w:r>
      <w:r w:rsidRPr="0046210B">
        <w:rPr>
          <w:color w:val="000000"/>
          <w:sz w:val="28"/>
          <w:szCs w:val="28"/>
          <w:lang w:val="en-US"/>
        </w:rPr>
        <w:t>/</w:t>
      </w:r>
      <w:r>
        <w:rPr>
          <w:color w:val="000000"/>
          <w:sz w:val="28"/>
          <w:szCs w:val="28"/>
          <w:lang w:val="en-US"/>
        </w:rPr>
        <w:t>l)</w:t>
      </w:r>
      <w:r w:rsidRPr="0046210B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>and protein (</w:t>
      </w:r>
      <w:r w:rsidRPr="0046210B">
        <w:rPr>
          <w:color w:val="000000"/>
          <w:sz w:val="28"/>
          <w:szCs w:val="28"/>
          <w:lang w:val="en-US"/>
        </w:rPr>
        <w:t xml:space="preserve">≥ 60 </w:t>
      </w:r>
      <w:r>
        <w:rPr>
          <w:color w:val="000000"/>
          <w:sz w:val="28"/>
          <w:szCs w:val="28"/>
          <w:lang w:val="en-US"/>
        </w:rPr>
        <w:t>g</w:t>
      </w:r>
      <w:r w:rsidRPr="0046210B">
        <w:rPr>
          <w:color w:val="000000"/>
          <w:sz w:val="28"/>
          <w:szCs w:val="28"/>
          <w:lang w:val="en-US"/>
        </w:rPr>
        <w:t>/</w:t>
      </w:r>
      <w:r>
        <w:rPr>
          <w:color w:val="000000"/>
          <w:sz w:val="28"/>
          <w:szCs w:val="28"/>
          <w:lang w:val="en-US"/>
        </w:rPr>
        <w:t>l)</w:t>
      </w:r>
      <w:r w:rsidRPr="0046210B">
        <w:rPr>
          <w:color w:val="000000"/>
          <w:sz w:val="28"/>
          <w:szCs w:val="28"/>
          <w:lang w:val="en-US"/>
        </w:rPr>
        <w:t>;</w:t>
      </w:r>
    </w:p>
    <w:p w:rsidR="00DD4EE4" w:rsidRPr="0046210B" w:rsidRDefault="00DD4EE4" w:rsidP="00DD4EE4">
      <w:pPr>
        <w:pStyle w:val="ab"/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247E6E">
        <w:rPr>
          <w:color w:val="000000"/>
          <w:sz w:val="28"/>
          <w:szCs w:val="28"/>
        </w:rPr>
        <w:t>в</w:t>
      </w:r>
      <w:r w:rsidRPr="0046210B">
        <w:rPr>
          <w:color w:val="000000"/>
          <w:sz w:val="28"/>
          <w:szCs w:val="28"/>
          <w:lang w:val="en-US"/>
        </w:rPr>
        <w:t xml:space="preserve">) </w:t>
      </w:r>
      <w:r>
        <w:rPr>
          <w:color w:val="000000"/>
          <w:sz w:val="28"/>
          <w:szCs w:val="28"/>
          <w:lang w:val="en-US"/>
        </w:rPr>
        <w:t>hemodynamics data following the initial narcosis when the CVP is</w:t>
      </w:r>
      <w:r w:rsidRPr="0046210B">
        <w:rPr>
          <w:color w:val="000000"/>
          <w:sz w:val="28"/>
          <w:szCs w:val="28"/>
          <w:lang w:val="en-US"/>
        </w:rPr>
        <w:t xml:space="preserve"> ≥ 4 </w:t>
      </w:r>
      <w:r>
        <w:rPr>
          <w:color w:val="000000"/>
          <w:sz w:val="28"/>
          <w:szCs w:val="28"/>
          <w:lang w:val="en-US"/>
        </w:rPr>
        <w:t>mm Hg and AP</w:t>
      </w:r>
      <w:r w:rsidRPr="0046210B">
        <w:rPr>
          <w:color w:val="000000"/>
          <w:sz w:val="28"/>
          <w:szCs w:val="28"/>
          <w:lang w:val="en-US"/>
        </w:rPr>
        <w:t xml:space="preserve"> ≥ 90 </w:t>
      </w:r>
      <w:r>
        <w:rPr>
          <w:color w:val="000000"/>
          <w:sz w:val="28"/>
          <w:szCs w:val="28"/>
          <w:lang w:val="en-US"/>
        </w:rPr>
        <w:t xml:space="preserve">Hg, the initial CBV being </w:t>
      </w:r>
      <w:r w:rsidRPr="0046210B">
        <w:rPr>
          <w:color w:val="000000"/>
          <w:sz w:val="28"/>
          <w:szCs w:val="28"/>
          <w:lang w:val="en-US"/>
        </w:rPr>
        <w:t>≥ 4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>4±0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 xml:space="preserve">7 </w:t>
      </w:r>
      <w:r>
        <w:rPr>
          <w:color w:val="000000"/>
          <w:sz w:val="28"/>
          <w:szCs w:val="28"/>
          <w:lang w:val="en-US"/>
        </w:rPr>
        <w:t>l</w:t>
      </w:r>
      <w:r w:rsidRPr="0046210B">
        <w:rPr>
          <w:color w:val="000000"/>
          <w:sz w:val="28"/>
          <w:szCs w:val="28"/>
          <w:lang w:val="en-US"/>
        </w:rPr>
        <w:t>.</w:t>
      </w:r>
    </w:p>
    <w:p w:rsidR="00DD4EE4" w:rsidRPr="0046210B" w:rsidRDefault="00DD4EE4" w:rsidP="00DD4EE4">
      <w:pPr>
        <w:pStyle w:val="ab"/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 variants of intra-operative autologous blood reserving being used for corrective MVD operations in CPB conditions and in combination with other approaches showed their efficacy; it permits to carry out such operations without use of donor blood and its components</w:t>
      </w:r>
      <w:r w:rsidRPr="0046210B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 xml:space="preserve">The best results were obtained for the reserving variant A+B+C with the </w:t>
      </w:r>
      <w:proofErr w:type="spellStart"/>
      <w:r>
        <w:rPr>
          <w:color w:val="000000"/>
          <w:sz w:val="28"/>
          <w:szCs w:val="28"/>
          <w:lang w:val="en-US"/>
        </w:rPr>
        <w:t>exfusion</w:t>
      </w:r>
      <w:proofErr w:type="spellEnd"/>
      <w:r>
        <w:rPr>
          <w:color w:val="000000"/>
          <w:sz w:val="28"/>
          <w:szCs w:val="28"/>
          <w:lang w:val="en-US"/>
        </w:rPr>
        <w:t xml:space="preserve"> of the largest autologous blood volume – </w:t>
      </w:r>
      <w:r w:rsidRPr="0046210B">
        <w:rPr>
          <w:color w:val="000000"/>
          <w:sz w:val="28"/>
          <w:szCs w:val="28"/>
          <w:lang w:val="en-US"/>
        </w:rPr>
        <w:t>1557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>2±473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 xml:space="preserve">5 </w:t>
      </w:r>
      <w:r>
        <w:rPr>
          <w:color w:val="000000"/>
          <w:sz w:val="28"/>
          <w:szCs w:val="28"/>
          <w:lang w:val="en-US"/>
        </w:rPr>
        <w:t>ml</w:t>
      </w:r>
      <w:r w:rsidRPr="0046210B">
        <w:rPr>
          <w:color w:val="000000"/>
          <w:sz w:val="28"/>
          <w:szCs w:val="28"/>
          <w:lang w:val="en-US"/>
        </w:rPr>
        <w:t xml:space="preserve"> (</w:t>
      </w:r>
      <w:r>
        <w:rPr>
          <w:color w:val="000000"/>
          <w:sz w:val="28"/>
          <w:szCs w:val="28"/>
          <w:lang w:val="en-US"/>
        </w:rPr>
        <w:t xml:space="preserve">i.e. </w:t>
      </w:r>
      <w:r w:rsidRPr="0046210B">
        <w:rPr>
          <w:color w:val="000000"/>
          <w:sz w:val="28"/>
          <w:szCs w:val="28"/>
          <w:lang w:val="en-US"/>
        </w:rPr>
        <w:t>29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>2±8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 xml:space="preserve">9% </w:t>
      </w:r>
      <w:r>
        <w:rPr>
          <w:color w:val="000000"/>
          <w:sz w:val="28"/>
          <w:szCs w:val="28"/>
          <w:lang w:val="en-US"/>
        </w:rPr>
        <w:t>of the CBV</w:t>
      </w:r>
      <w:r w:rsidRPr="0046210B">
        <w:rPr>
          <w:color w:val="000000"/>
          <w:sz w:val="28"/>
          <w:szCs w:val="28"/>
          <w:lang w:val="en-US"/>
        </w:rPr>
        <w:t>)</w:t>
      </w:r>
      <w:r>
        <w:rPr>
          <w:color w:val="000000"/>
          <w:sz w:val="28"/>
          <w:szCs w:val="28"/>
          <w:lang w:val="en-US"/>
        </w:rPr>
        <w:t>; the statistically significant increase of platelets quantity (by  20.4%) was shown at the moment of patients’ discharge comparing to their initial data</w:t>
      </w:r>
      <w:r w:rsidRPr="0046210B">
        <w:rPr>
          <w:color w:val="000000"/>
          <w:sz w:val="28"/>
          <w:szCs w:val="28"/>
          <w:lang w:val="en-US"/>
        </w:rPr>
        <w:t xml:space="preserve"> (</w:t>
      </w:r>
      <w:r w:rsidRPr="00247E6E">
        <w:rPr>
          <w:color w:val="000000"/>
          <w:sz w:val="28"/>
          <w:szCs w:val="28"/>
        </w:rPr>
        <w:t>р</w:t>
      </w:r>
      <w:r w:rsidRPr="0046210B">
        <w:rPr>
          <w:color w:val="000000"/>
          <w:sz w:val="28"/>
          <w:szCs w:val="28"/>
          <w:lang w:val="en-US"/>
        </w:rPr>
        <w:t>&lt;0,05).</w:t>
      </w:r>
    </w:p>
    <w:p w:rsidR="00DD4EE4" w:rsidRPr="0046210B" w:rsidRDefault="00DD4EE4" w:rsidP="00DD4EE4">
      <w:pPr>
        <w:pStyle w:val="ab"/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During operations of MVD correction in the CPB conditions the blood </w:t>
      </w:r>
      <w:proofErr w:type="spellStart"/>
      <w:r>
        <w:rPr>
          <w:color w:val="000000"/>
          <w:sz w:val="28"/>
          <w:szCs w:val="28"/>
          <w:lang w:val="en-US"/>
        </w:rPr>
        <w:t>exfusion</w:t>
      </w:r>
      <w:proofErr w:type="spellEnd"/>
      <w:r>
        <w:rPr>
          <w:color w:val="000000"/>
          <w:sz w:val="28"/>
          <w:szCs w:val="28"/>
          <w:lang w:val="en-US"/>
        </w:rPr>
        <w:t xml:space="preserve"> whose volume did not exceed </w:t>
      </w:r>
      <w:r w:rsidRPr="0046210B">
        <w:rPr>
          <w:color w:val="000000"/>
          <w:sz w:val="28"/>
          <w:szCs w:val="28"/>
          <w:lang w:val="en-US"/>
        </w:rPr>
        <w:t xml:space="preserve">10-29% </w:t>
      </w:r>
      <w:r>
        <w:rPr>
          <w:color w:val="000000"/>
          <w:sz w:val="28"/>
          <w:szCs w:val="28"/>
          <w:lang w:val="en-US"/>
        </w:rPr>
        <w:t xml:space="preserve">of the CBV caused no decrease of the oxygen delivery and oxygen consumption as well as no metabolic acidosis or </w:t>
      </w:r>
      <w:proofErr w:type="spellStart"/>
      <w:r>
        <w:rPr>
          <w:color w:val="000000"/>
          <w:sz w:val="28"/>
          <w:szCs w:val="28"/>
          <w:lang w:val="en-US"/>
        </w:rPr>
        <w:t>lactoacidosis</w:t>
      </w:r>
      <w:proofErr w:type="spellEnd"/>
      <w:r>
        <w:rPr>
          <w:color w:val="000000"/>
          <w:sz w:val="28"/>
          <w:szCs w:val="28"/>
          <w:lang w:val="en-US"/>
        </w:rPr>
        <w:t xml:space="preserve"> was found.</w:t>
      </w:r>
      <w:r w:rsidRPr="0046210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In these cases the hemodynamics parameters were stable. </w:t>
      </w:r>
    </w:p>
    <w:p w:rsidR="00DD4EE4" w:rsidRPr="0046210B" w:rsidRDefault="00DD4EE4" w:rsidP="00DD4EE4">
      <w:pPr>
        <w:pStyle w:val="ab"/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The ABB of the autologous blood collected into the </w:t>
      </w:r>
      <w:proofErr w:type="spellStart"/>
      <w:r>
        <w:rPr>
          <w:color w:val="000000"/>
          <w:sz w:val="28"/>
          <w:szCs w:val="28"/>
          <w:lang w:val="en-US"/>
        </w:rPr>
        <w:t>glugycir</w:t>
      </w:r>
      <w:proofErr w:type="spellEnd"/>
      <w:r>
        <w:rPr>
          <w:color w:val="000000"/>
          <w:sz w:val="28"/>
          <w:szCs w:val="28"/>
          <w:lang w:val="en-US"/>
        </w:rPr>
        <w:t xml:space="preserve"> is better comparing to the EM ABB</w:t>
      </w:r>
      <w:r w:rsidRPr="0046210B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 xml:space="preserve">Primary damages occur in the autologous blood being </w:t>
      </w:r>
      <w:proofErr w:type="spellStart"/>
      <w:r>
        <w:rPr>
          <w:color w:val="000000"/>
          <w:sz w:val="28"/>
          <w:szCs w:val="28"/>
          <w:lang w:val="en-US"/>
        </w:rPr>
        <w:t>exfused</w:t>
      </w:r>
      <w:proofErr w:type="spellEnd"/>
      <w:r>
        <w:rPr>
          <w:color w:val="000000"/>
          <w:sz w:val="28"/>
          <w:szCs w:val="28"/>
          <w:lang w:val="en-US"/>
        </w:rPr>
        <w:t xml:space="preserve"> as a result of blood exit from its vascular bed and non-physiological storage conditions in the sodium citrate-containing medium; such damages have also place in the EM; they differ markedly from the physiological norm. The </w:t>
      </w:r>
      <w:proofErr w:type="spellStart"/>
      <w:r>
        <w:rPr>
          <w:color w:val="000000"/>
          <w:sz w:val="28"/>
          <w:szCs w:val="28"/>
          <w:lang w:val="en-US"/>
        </w:rPr>
        <w:t>perfusate</w:t>
      </w:r>
      <w:proofErr w:type="spellEnd"/>
      <w:r>
        <w:rPr>
          <w:color w:val="000000"/>
          <w:sz w:val="28"/>
          <w:szCs w:val="28"/>
          <w:lang w:val="en-US"/>
        </w:rPr>
        <w:t xml:space="preserve"> being reserved following </w:t>
      </w:r>
      <w:proofErr w:type="spellStart"/>
      <w:r>
        <w:rPr>
          <w:color w:val="000000"/>
          <w:sz w:val="28"/>
          <w:szCs w:val="28"/>
          <w:lang w:val="en-US"/>
        </w:rPr>
        <w:t>heparinization</w:t>
      </w:r>
      <w:proofErr w:type="spellEnd"/>
      <w:r>
        <w:rPr>
          <w:color w:val="000000"/>
          <w:sz w:val="28"/>
          <w:szCs w:val="28"/>
          <w:lang w:val="en-US"/>
        </w:rPr>
        <w:t xml:space="preserve"> in a vial without citrate-containing anticoagulant is kept in the conditions being “more physiological” ones.</w:t>
      </w:r>
    </w:p>
    <w:p w:rsidR="00DD4EE4" w:rsidRPr="0046210B" w:rsidRDefault="00DD4EE4" w:rsidP="00DD4EE4">
      <w:pPr>
        <w:pStyle w:val="ab"/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The absence of </w:t>
      </w:r>
      <w:proofErr w:type="spellStart"/>
      <w:r>
        <w:rPr>
          <w:color w:val="000000"/>
          <w:sz w:val="28"/>
          <w:szCs w:val="28"/>
          <w:lang w:val="en-US"/>
        </w:rPr>
        <w:t>allohemotransfusions</w:t>
      </w:r>
      <w:proofErr w:type="spellEnd"/>
      <w:r>
        <w:rPr>
          <w:color w:val="000000"/>
          <w:sz w:val="28"/>
          <w:szCs w:val="28"/>
          <w:lang w:val="en-US"/>
        </w:rPr>
        <w:t xml:space="preserve"> in patients of the main group promoted the decrease of post-operational infectious complication quantity from</w:t>
      </w:r>
      <w:r w:rsidRPr="0046210B">
        <w:rPr>
          <w:color w:val="000000"/>
          <w:sz w:val="28"/>
          <w:szCs w:val="28"/>
          <w:lang w:val="en-US"/>
        </w:rPr>
        <w:t xml:space="preserve"> </w:t>
      </w:r>
      <w:r w:rsidRPr="00247E6E">
        <w:rPr>
          <w:color w:val="000000"/>
          <w:sz w:val="28"/>
          <w:szCs w:val="28"/>
        </w:rPr>
        <w:t>с</w:t>
      </w:r>
      <w:r w:rsidRPr="0046210B">
        <w:rPr>
          <w:color w:val="000000"/>
          <w:sz w:val="28"/>
          <w:szCs w:val="28"/>
          <w:lang w:val="en-US"/>
        </w:rPr>
        <w:t xml:space="preserve"> 7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 xml:space="preserve">7 % </w:t>
      </w:r>
      <w:r>
        <w:rPr>
          <w:color w:val="000000"/>
          <w:sz w:val="28"/>
          <w:szCs w:val="28"/>
          <w:lang w:val="en-US"/>
        </w:rPr>
        <w:t xml:space="preserve">up to   </w:t>
      </w:r>
      <w:r w:rsidRPr="0046210B">
        <w:rPr>
          <w:color w:val="000000"/>
          <w:sz w:val="28"/>
          <w:szCs w:val="28"/>
          <w:lang w:val="en-US"/>
        </w:rPr>
        <w:t xml:space="preserve"> 2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>2 %</w:t>
      </w:r>
      <w:r>
        <w:rPr>
          <w:color w:val="000000"/>
          <w:sz w:val="28"/>
          <w:szCs w:val="28"/>
          <w:lang w:val="en-US"/>
        </w:rPr>
        <w:t xml:space="preserve"> comparing to the control group.</w:t>
      </w:r>
    </w:p>
    <w:p w:rsidR="00DD4EE4" w:rsidRPr="0046210B" w:rsidRDefault="00DD4EE4" w:rsidP="00DD4EE4">
      <w:pPr>
        <w:pStyle w:val="ab"/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 duration of the artificial lung ventilation</w:t>
      </w:r>
      <w:r>
        <w:rPr>
          <w:rStyle w:val="af2"/>
          <w:color w:val="000000"/>
          <w:sz w:val="28"/>
          <w:szCs w:val="28"/>
          <w:lang w:val="en-US"/>
        </w:rPr>
        <w:footnoteReference w:id="11"/>
      </w:r>
      <w:r>
        <w:rPr>
          <w:color w:val="000000"/>
          <w:sz w:val="28"/>
          <w:szCs w:val="28"/>
          <w:lang w:val="en-US"/>
        </w:rPr>
        <w:t xml:space="preserve"> and the duration of stay in the ICU for the main group  decreased from </w:t>
      </w:r>
      <w:r w:rsidRPr="0046210B">
        <w:rPr>
          <w:color w:val="000000"/>
          <w:sz w:val="28"/>
          <w:szCs w:val="28"/>
          <w:lang w:val="en-US"/>
        </w:rPr>
        <w:t>12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>3±11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 xml:space="preserve">5 </w:t>
      </w:r>
      <w:r>
        <w:rPr>
          <w:color w:val="000000"/>
          <w:sz w:val="28"/>
          <w:szCs w:val="28"/>
          <w:lang w:val="en-US"/>
        </w:rPr>
        <w:t xml:space="preserve">up to </w:t>
      </w:r>
      <w:r w:rsidRPr="0046210B">
        <w:rPr>
          <w:color w:val="000000"/>
          <w:sz w:val="28"/>
          <w:szCs w:val="28"/>
          <w:lang w:val="en-US"/>
        </w:rPr>
        <w:t>5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>4±3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 xml:space="preserve">8 </w:t>
      </w:r>
      <w:r>
        <w:rPr>
          <w:color w:val="000000"/>
          <w:sz w:val="28"/>
          <w:szCs w:val="28"/>
          <w:lang w:val="en-US"/>
        </w:rPr>
        <w:t>hours</w:t>
      </w:r>
      <w:r w:rsidRPr="0046210B">
        <w:rPr>
          <w:color w:val="000000"/>
          <w:sz w:val="28"/>
          <w:szCs w:val="28"/>
          <w:lang w:val="en-US"/>
        </w:rPr>
        <w:t xml:space="preserve"> </w:t>
      </w:r>
      <w:r w:rsidRPr="00247E6E">
        <w:rPr>
          <w:color w:val="000000"/>
          <w:sz w:val="28"/>
          <w:szCs w:val="28"/>
        </w:rPr>
        <w:lastRenderedPageBreak/>
        <w:t>р</w:t>
      </w:r>
      <w:r w:rsidRPr="0046210B">
        <w:rPr>
          <w:color w:val="000000"/>
          <w:sz w:val="28"/>
          <w:szCs w:val="28"/>
          <w:lang w:val="en-US"/>
        </w:rPr>
        <w:t>&lt;0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>05)</w:t>
      </w:r>
      <w:r>
        <w:rPr>
          <w:color w:val="000000"/>
          <w:sz w:val="28"/>
          <w:szCs w:val="28"/>
          <w:lang w:val="en-US"/>
        </w:rPr>
        <w:t xml:space="preserve"> and from </w:t>
      </w:r>
      <w:r w:rsidRPr="0046210B">
        <w:rPr>
          <w:color w:val="000000"/>
          <w:sz w:val="28"/>
          <w:szCs w:val="28"/>
          <w:lang w:val="en-US"/>
        </w:rPr>
        <w:t>116</w:t>
      </w:r>
      <w:r>
        <w:rPr>
          <w:color w:val="000000"/>
          <w:sz w:val="28"/>
          <w:szCs w:val="28"/>
          <w:lang w:val="en-US"/>
        </w:rPr>
        <w:t>.</w:t>
      </w:r>
      <w:r w:rsidRPr="0046210B">
        <w:rPr>
          <w:color w:val="000000"/>
          <w:sz w:val="28"/>
          <w:szCs w:val="28"/>
          <w:lang w:val="en-US"/>
        </w:rPr>
        <w:t xml:space="preserve">3±45,2 </w:t>
      </w:r>
      <w:r>
        <w:rPr>
          <w:color w:val="000000"/>
          <w:sz w:val="28"/>
          <w:szCs w:val="28"/>
          <w:lang w:val="en-US"/>
        </w:rPr>
        <w:t>up to</w:t>
      </w:r>
      <w:r w:rsidRPr="0046210B">
        <w:rPr>
          <w:color w:val="000000"/>
          <w:sz w:val="28"/>
          <w:szCs w:val="28"/>
          <w:lang w:val="en-US"/>
        </w:rPr>
        <w:t xml:space="preserve"> 56,4±22,7 </w:t>
      </w:r>
      <w:r>
        <w:rPr>
          <w:color w:val="000000"/>
          <w:sz w:val="28"/>
          <w:szCs w:val="28"/>
          <w:lang w:val="en-US"/>
        </w:rPr>
        <w:t>hours</w:t>
      </w:r>
      <w:r w:rsidRPr="0046210B">
        <w:rPr>
          <w:color w:val="000000"/>
          <w:sz w:val="28"/>
          <w:szCs w:val="28"/>
          <w:lang w:val="en-US"/>
        </w:rPr>
        <w:t xml:space="preserve"> (</w:t>
      </w:r>
      <w:r w:rsidRPr="00247E6E">
        <w:rPr>
          <w:color w:val="000000"/>
          <w:sz w:val="28"/>
          <w:szCs w:val="28"/>
        </w:rPr>
        <w:t>р</w:t>
      </w:r>
      <w:r w:rsidRPr="0046210B">
        <w:rPr>
          <w:color w:val="000000"/>
          <w:sz w:val="28"/>
          <w:szCs w:val="28"/>
          <w:lang w:val="en-US"/>
        </w:rPr>
        <w:t>&lt;0,05)</w:t>
      </w:r>
      <w:r>
        <w:rPr>
          <w:color w:val="000000"/>
          <w:sz w:val="28"/>
          <w:szCs w:val="28"/>
          <w:lang w:val="en-US"/>
        </w:rPr>
        <w:t>, respectively, comparing to the control group; thus, we obtained better results of surgical correction for MVD patients</w:t>
      </w:r>
      <w:r w:rsidRPr="0046210B">
        <w:rPr>
          <w:color w:val="000000"/>
          <w:sz w:val="28"/>
          <w:szCs w:val="28"/>
          <w:lang w:val="en-US"/>
        </w:rPr>
        <w:t>.</w:t>
      </w:r>
    </w:p>
    <w:p w:rsidR="00DD4EE4" w:rsidRPr="0046210B" w:rsidRDefault="00DD4EE4" w:rsidP="00DD4EE4">
      <w:pPr>
        <w:pStyle w:val="ab"/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The authors improved also the current method of operation anesthetic support concerning: a) carrying out of infusion and transfusion therapy </w:t>
      </w:r>
      <w:r w:rsidRPr="0046210B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  <w:lang w:val="en-US"/>
        </w:rPr>
        <w:t xml:space="preserve">stimulation of diuresis, water balance control, and acute </w:t>
      </w:r>
      <w:proofErr w:type="spellStart"/>
      <w:r>
        <w:rPr>
          <w:color w:val="000000"/>
          <w:sz w:val="28"/>
          <w:szCs w:val="28"/>
          <w:lang w:val="en-US"/>
        </w:rPr>
        <w:t>normovolemic</w:t>
      </w:r>
      <w:proofErr w:type="spellEnd"/>
      <w:r>
        <w:rPr>
          <w:color w:val="000000"/>
          <w:sz w:val="28"/>
          <w:szCs w:val="28"/>
          <w:lang w:val="en-US"/>
        </w:rPr>
        <w:t xml:space="preserve"> dynamics</w:t>
      </w:r>
      <w:r>
        <w:rPr>
          <w:rStyle w:val="af2"/>
          <w:color w:val="000000"/>
          <w:sz w:val="28"/>
          <w:szCs w:val="28"/>
          <w:lang w:val="en-US"/>
        </w:rPr>
        <w:footnoteReference w:id="12"/>
      </w:r>
      <w:r>
        <w:rPr>
          <w:color w:val="000000"/>
          <w:sz w:val="28"/>
          <w:szCs w:val="28"/>
          <w:lang w:val="en-US"/>
        </w:rPr>
        <w:t xml:space="preserve"> before the CPB</w:t>
      </w:r>
      <w:r w:rsidRPr="0046210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and decrease of </w:t>
      </w:r>
      <w:proofErr w:type="spellStart"/>
      <w:r>
        <w:rPr>
          <w:color w:val="000000"/>
          <w:sz w:val="28"/>
          <w:szCs w:val="28"/>
          <w:lang w:val="en-US"/>
        </w:rPr>
        <w:t>hemodilution</w:t>
      </w:r>
      <w:proofErr w:type="spellEnd"/>
      <w:r>
        <w:rPr>
          <w:color w:val="000000"/>
          <w:sz w:val="28"/>
          <w:szCs w:val="28"/>
          <w:lang w:val="en-US"/>
        </w:rPr>
        <w:t xml:space="preserve"> due to the retrograde oxygenator filling by autologous blood; b</w:t>
      </w:r>
      <w:r w:rsidRPr="0046210B">
        <w:rPr>
          <w:color w:val="000000"/>
          <w:sz w:val="28"/>
          <w:szCs w:val="28"/>
          <w:lang w:val="en-US"/>
        </w:rPr>
        <w:t xml:space="preserve">) </w:t>
      </w:r>
      <w:r>
        <w:rPr>
          <w:color w:val="000000"/>
          <w:sz w:val="28"/>
          <w:szCs w:val="28"/>
          <w:lang w:val="en-US"/>
        </w:rPr>
        <w:t xml:space="preserve">perfection of autologous blood </w:t>
      </w:r>
      <w:proofErr w:type="spellStart"/>
      <w:r>
        <w:rPr>
          <w:color w:val="000000"/>
          <w:sz w:val="28"/>
          <w:szCs w:val="28"/>
          <w:lang w:val="en-US"/>
        </w:rPr>
        <w:t>exfusion</w:t>
      </w:r>
      <w:proofErr w:type="spellEnd"/>
      <w:r>
        <w:rPr>
          <w:color w:val="000000"/>
          <w:sz w:val="28"/>
          <w:szCs w:val="28"/>
          <w:lang w:val="en-US"/>
        </w:rPr>
        <w:t xml:space="preserve"> methods and their combination, change of infusive hemostatic therapy approaches;</w:t>
      </w:r>
      <w:r w:rsidRPr="0046210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c</w:t>
      </w:r>
      <w:r w:rsidRPr="0046210B">
        <w:rPr>
          <w:color w:val="000000"/>
          <w:sz w:val="28"/>
          <w:szCs w:val="28"/>
          <w:lang w:val="en-US"/>
        </w:rPr>
        <w:t xml:space="preserve">) </w:t>
      </w:r>
      <w:r>
        <w:rPr>
          <w:color w:val="000000"/>
          <w:sz w:val="28"/>
          <w:szCs w:val="28"/>
          <w:lang w:val="en-US"/>
        </w:rPr>
        <w:t xml:space="preserve">CVP control and AP maintaining when realizing different autologous blood </w:t>
      </w:r>
      <w:proofErr w:type="spellStart"/>
      <w:r>
        <w:rPr>
          <w:color w:val="000000"/>
          <w:sz w:val="28"/>
          <w:szCs w:val="28"/>
          <w:lang w:val="en-US"/>
        </w:rPr>
        <w:t>exfusion</w:t>
      </w:r>
      <w:proofErr w:type="spellEnd"/>
      <w:r>
        <w:rPr>
          <w:color w:val="000000"/>
          <w:sz w:val="28"/>
          <w:szCs w:val="28"/>
          <w:lang w:val="en-US"/>
        </w:rPr>
        <w:t xml:space="preserve"> procedures. All these improvements have increased the quality of surgical interventions for MVD patients in CPB conditions</w:t>
      </w:r>
      <w:r w:rsidRPr="0046210B">
        <w:rPr>
          <w:color w:val="000000"/>
          <w:sz w:val="28"/>
          <w:szCs w:val="28"/>
          <w:lang w:val="en-US"/>
        </w:rPr>
        <w:t>.</w:t>
      </w:r>
    </w:p>
    <w:p w:rsidR="00EE70A7" w:rsidRPr="004A0975" w:rsidRDefault="00EE70A7" w:rsidP="00EE70A7">
      <w:pPr>
        <w:spacing w:line="360" w:lineRule="auto"/>
        <w:jc w:val="both"/>
        <w:rPr>
          <w:color w:val="000000"/>
          <w:sz w:val="28"/>
          <w:szCs w:val="28"/>
        </w:rPr>
      </w:pPr>
      <w:r w:rsidRPr="004A097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 </w:t>
      </w:r>
      <w:proofErr w:type="spellStart"/>
      <w:r w:rsidRPr="004A0975">
        <w:rPr>
          <w:color w:val="000000"/>
          <w:sz w:val="28"/>
          <w:szCs w:val="28"/>
        </w:rPr>
        <w:t>Лазоришинец</w:t>
      </w:r>
      <w:proofErr w:type="spellEnd"/>
      <w:r w:rsidRPr="004A0975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> </w:t>
      </w:r>
      <w:r w:rsidRPr="004A0975">
        <w:rPr>
          <w:color w:val="000000"/>
          <w:sz w:val="28"/>
          <w:szCs w:val="28"/>
        </w:rPr>
        <w:t>В., Попов В.</w:t>
      </w:r>
      <w:r>
        <w:rPr>
          <w:color w:val="000000"/>
          <w:sz w:val="28"/>
          <w:szCs w:val="28"/>
        </w:rPr>
        <w:t> </w:t>
      </w:r>
      <w:r w:rsidRPr="004A0975">
        <w:rPr>
          <w:color w:val="000000"/>
          <w:sz w:val="28"/>
          <w:szCs w:val="28"/>
        </w:rPr>
        <w:t xml:space="preserve">В. </w:t>
      </w:r>
      <w:proofErr w:type="spellStart"/>
      <w:r w:rsidRPr="004A0975">
        <w:rPr>
          <w:color w:val="000000"/>
          <w:sz w:val="28"/>
          <w:szCs w:val="28"/>
        </w:rPr>
        <w:t>Кров</w:t>
      </w:r>
      <w:r>
        <w:rPr>
          <w:color w:val="000000"/>
          <w:sz w:val="28"/>
          <w:szCs w:val="28"/>
        </w:rPr>
        <w:t>о</w:t>
      </w:r>
      <w:r w:rsidRPr="004A0975">
        <w:rPr>
          <w:color w:val="000000"/>
          <w:sz w:val="28"/>
          <w:szCs w:val="28"/>
        </w:rPr>
        <w:t>сберегающие</w:t>
      </w:r>
      <w:proofErr w:type="spellEnd"/>
      <w:r w:rsidRPr="004A0975">
        <w:rPr>
          <w:color w:val="000000"/>
          <w:sz w:val="28"/>
          <w:szCs w:val="28"/>
        </w:rPr>
        <w:t xml:space="preserve"> технологии  при хирургическом лечении митрального порока.</w:t>
      </w:r>
      <w:r>
        <w:rPr>
          <w:color w:val="000000"/>
          <w:sz w:val="28"/>
          <w:szCs w:val="28"/>
        </w:rPr>
        <w:t xml:space="preserve"> – </w:t>
      </w:r>
      <w:r w:rsidRPr="004A0975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., </w:t>
      </w:r>
      <w:r w:rsidRPr="004A0975">
        <w:rPr>
          <w:color w:val="000000"/>
          <w:sz w:val="28"/>
          <w:szCs w:val="28"/>
        </w:rPr>
        <w:t>2015</w:t>
      </w:r>
      <w:r>
        <w:rPr>
          <w:color w:val="000000"/>
          <w:sz w:val="28"/>
          <w:szCs w:val="28"/>
        </w:rPr>
        <w:t>. –</w:t>
      </w:r>
      <w:r w:rsidRPr="004A0975">
        <w:rPr>
          <w:color w:val="000000"/>
          <w:sz w:val="28"/>
          <w:szCs w:val="28"/>
        </w:rPr>
        <w:t xml:space="preserve"> С. 167</w:t>
      </w:r>
      <w:r>
        <w:rPr>
          <w:color w:val="000000"/>
          <w:sz w:val="28"/>
          <w:szCs w:val="28"/>
        </w:rPr>
        <w:t>.</w:t>
      </w:r>
    </w:p>
    <w:p w:rsidR="00EE70A7" w:rsidRPr="004A0975" w:rsidRDefault="00EE70A7" w:rsidP="00EE70A7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4A0975">
        <w:rPr>
          <w:color w:val="000000"/>
          <w:sz w:val="28"/>
          <w:szCs w:val="28"/>
          <w:lang w:val="en-US"/>
        </w:rPr>
        <w:t>2. </w:t>
      </w:r>
      <w:proofErr w:type="spellStart"/>
      <w:r w:rsidRPr="004A0975">
        <w:rPr>
          <w:color w:val="000000"/>
          <w:sz w:val="28"/>
          <w:szCs w:val="28"/>
          <w:lang w:val="en-US"/>
        </w:rPr>
        <w:t>Engoren</w:t>
      </w:r>
      <w:proofErr w:type="spellEnd"/>
      <w:r w:rsidRPr="004A0975">
        <w:rPr>
          <w:color w:val="000000"/>
          <w:sz w:val="28"/>
          <w:szCs w:val="28"/>
          <w:lang w:val="en-US"/>
        </w:rPr>
        <w:t xml:space="preserve"> M., Schwan T. A., Habib R. H., Neil C. V. The independent effect of </w:t>
      </w:r>
      <w:r w:rsidRPr="00724917">
        <w:rPr>
          <w:color w:val="000000"/>
          <w:sz w:val="28"/>
          <w:szCs w:val="28"/>
          <w:lang w:val="en-US"/>
        </w:rPr>
        <w:t>anemia and transfusion</w:t>
      </w:r>
      <w:r w:rsidRPr="004A0975">
        <w:rPr>
          <w:color w:val="000000"/>
          <w:sz w:val="28"/>
          <w:szCs w:val="28"/>
          <w:lang w:val="en-US"/>
        </w:rPr>
        <w:t xml:space="preserve"> on mortality after coronary bypass</w:t>
      </w:r>
      <w:r w:rsidRPr="000C1463">
        <w:rPr>
          <w:color w:val="000000"/>
          <w:sz w:val="28"/>
          <w:szCs w:val="28"/>
          <w:lang w:val="en-US"/>
        </w:rPr>
        <w:t> /</w:t>
      </w:r>
      <w:r w:rsidRPr="004A0975">
        <w:rPr>
          <w:color w:val="000000"/>
          <w:sz w:val="28"/>
          <w:szCs w:val="28"/>
          <w:lang w:val="en-US"/>
        </w:rPr>
        <w:t>/</w:t>
      </w:r>
      <w:r w:rsidRPr="000C1463">
        <w:rPr>
          <w:color w:val="000000"/>
          <w:sz w:val="28"/>
          <w:szCs w:val="28"/>
          <w:lang w:val="en-US"/>
        </w:rPr>
        <w:t xml:space="preserve"> </w:t>
      </w:r>
      <w:r w:rsidRPr="004A0975">
        <w:rPr>
          <w:color w:val="000000"/>
          <w:sz w:val="28"/>
          <w:szCs w:val="28"/>
          <w:lang w:val="en-US"/>
        </w:rPr>
        <w:t>Annals of Thoracic Surgery</w:t>
      </w:r>
      <w:r w:rsidRPr="000C1463">
        <w:rPr>
          <w:color w:val="000000"/>
          <w:sz w:val="28"/>
          <w:szCs w:val="28"/>
          <w:lang w:val="en-US"/>
        </w:rPr>
        <w:t xml:space="preserve">. – </w:t>
      </w:r>
      <w:r w:rsidRPr="004A0975">
        <w:rPr>
          <w:color w:val="000000"/>
          <w:sz w:val="28"/>
          <w:szCs w:val="28"/>
          <w:lang w:val="en-US"/>
        </w:rPr>
        <w:t>2014</w:t>
      </w:r>
      <w:r w:rsidRPr="000C1463">
        <w:rPr>
          <w:color w:val="000000"/>
          <w:sz w:val="28"/>
          <w:szCs w:val="28"/>
          <w:lang w:val="en-US"/>
        </w:rPr>
        <w:t xml:space="preserve">. – </w:t>
      </w:r>
      <w:r w:rsidRPr="004A0975">
        <w:rPr>
          <w:color w:val="000000"/>
          <w:sz w:val="28"/>
          <w:szCs w:val="28"/>
          <w:lang w:val="en-US"/>
        </w:rPr>
        <w:t>Vol</w:t>
      </w:r>
      <w:r w:rsidRPr="000C1463">
        <w:rPr>
          <w:color w:val="000000"/>
          <w:sz w:val="28"/>
          <w:szCs w:val="28"/>
          <w:lang w:val="en-US"/>
        </w:rPr>
        <w:t>. </w:t>
      </w:r>
      <w:r w:rsidRPr="004A0975">
        <w:rPr>
          <w:color w:val="000000"/>
          <w:sz w:val="28"/>
          <w:szCs w:val="28"/>
          <w:lang w:val="en-US"/>
        </w:rPr>
        <w:t>97</w:t>
      </w:r>
      <w:r w:rsidRPr="000C1463">
        <w:rPr>
          <w:color w:val="000000"/>
          <w:sz w:val="28"/>
          <w:szCs w:val="28"/>
          <w:lang w:val="en-US"/>
        </w:rPr>
        <w:t xml:space="preserve">. – </w:t>
      </w:r>
      <w:r w:rsidRPr="004A0975">
        <w:rPr>
          <w:color w:val="000000"/>
          <w:sz w:val="28"/>
          <w:szCs w:val="28"/>
          <w:lang w:val="en-US"/>
        </w:rPr>
        <w:t>P.</w:t>
      </w:r>
      <w:r w:rsidRPr="000C1463">
        <w:rPr>
          <w:color w:val="000000"/>
          <w:sz w:val="28"/>
          <w:szCs w:val="28"/>
          <w:lang w:val="en-US"/>
        </w:rPr>
        <w:t> </w:t>
      </w:r>
      <w:r w:rsidRPr="004A0975">
        <w:rPr>
          <w:color w:val="000000"/>
          <w:sz w:val="28"/>
          <w:szCs w:val="28"/>
          <w:lang w:val="en-US"/>
        </w:rPr>
        <w:t>514</w:t>
      </w:r>
      <w:r w:rsidRPr="000C1463">
        <w:rPr>
          <w:color w:val="000000"/>
          <w:sz w:val="28"/>
          <w:szCs w:val="28"/>
          <w:lang w:val="en-US"/>
        </w:rPr>
        <w:t>–</w:t>
      </w:r>
      <w:r w:rsidRPr="004A0975">
        <w:rPr>
          <w:color w:val="000000"/>
          <w:sz w:val="28"/>
          <w:szCs w:val="28"/>
          <w:lang w:val="en-US"/>
        </w:rPr>
        <w:t xml:space="preserve">520. </w:t>
      </w:r>
    </w:p>
    <w:p w:rsidR="00EE70A7" w:rsidRPr="004A0975" w:rsidRDefault="00EE70A7" w:rsidP="00EE70A7">
      <w:pPr>
        <w:spacing w:line="360" w:lineRule="auto"/>
        <w:jc w:val="both"/>
        <w:rPr>
          <w:color w:val="000000"/>
          <w:sz w:val="28"/>
          <w:szCs w:val="28"/>
          <w:lang w:val="en-GB"/>
        </w:rPr>
      </w:pPr>
      <w:r w:rsidRPr="004A0975">
        <w:rPr>
          <w:sz w:val="28"/>
          <w:szCs w:val="28"/>
          <w:lang w:val="en-US"/>
        </w:rPr>
        <w:t xml:space="preserve"> 3.  </w:t>
      </w:r>
      <w:r w:rsidRPr="004A0975">
        <w:rPr>
          <w:rStyle w:val="ac"/>
          <w:b w:val="0"/>
          <w:color w:val="000000"/>
          <w:sz w:val="28"/>
          <w:szCs w:val="28"/>
          <w:lang w:val="en-GB"/>
        </w:rPr>
        <w:t xml:space="preserve"> Is postoperative blood loss, loss of blood? A pilot study in cardiac surgical patients</w:t>
      </w:r>
      <w:r w:rsidRPr="000C1463">
        <w:rPr>
          <w:rStyle w:val="ac"/>
          <w:b w:val="0"/>
          <w:color w:val="000000"/>
          <w:sz w:val="28"/>
          <w:szCs w:val="28"/>
          <w:lang w:val="en-US"/>
        </w:rPr>
        <w:t> </w:t>
      </w:r>
      <w:r w:rsidRPr="004A0975">
        <w:rPr>
          <w:rStyle w:val="ac"/>
          <w:b w:val="0"/>
          <w:color w:val="000000"/>
          <w:sz w:val="28"/>
          <w:szCs w:val="28"/>
          <w:lang w:val="en-US"/>
        </w:rPr>
        <w:t>/ E. J.</w:t>
      </w:r>
      <w:r w:rsidRPr="000C1463">
        <w:rPr>
          <w:rStyle w:val="ac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4A0975">
        <w:rPr>
          <w:color w:val="000000"/>
          <w:sz w:val="28"/>
          <w:szCs w:val="28"/>
          <w:lang w:val="en-US"/>
        </w:rPr>
        <w:t>Fransen</w:t>
      </w:r>
      <w:proofErr w:type="spellEnd"/>
      <w:r w:rsidRPr="004A0975">
        <w:rPr>
          <w:color w:val="000000"/>
          <w:sz w:val="28"/>
          <w:szCs w:val="28"/>
          <w:lang w:val="en-US"/>
        </w:rPr>
        <w:t xml:space="preserve">, D. S. de Jong, W. T. </w:t>
      </w:r>
      <w:proofErr w:type="spellStart"/>
      <w:r w:rsidRPr="004A0975">
        <w:rPr>
          <w:color w:val="000000"/>
          <w:sz w:val="28"/>
          <w:szCs w:val="28"/>
          <w:lang w:val="en-US"/>
        </w:rPr>
        <w:t>Hermens</w:t>
      </w:r>
      <w:proofErr w:type="spellEnd"/>
      <w:r w:rsidRPr="004A0975">
        <w:rPr>
          <w:color w:val="000000"/>
          <w:sz w:val="28"/>
          <w:szCs w:val="28"/>
          <w:lang w:val="en-US"/>
        </w:rPr>
        <w:t xml:space="preserve">, J. G. </w:t>
      </w:r>
      <w:proofErr w:type="spellStart"/>
      <w:r w:rsidRPr="004A0975">
        <w:rPr>
          <w:color w:val="000000"/>
          <w:sz w:val="28"/>
          <w:szCs w:val="28"/>
          <w:lang w:val="en-US"/>
        </w:rPr>
        <w:t>Maessen</w:t>
      </w:r>
      <w:proofErr w:type="spellEnd"/>
      <w:r w:rsidRPr="000C1463">
        <w:rPr>
          <w:color w:val="000000"/>
          <w:sz w:val="28"/>
          <w:szCs w:val="28"/>
          <w:lang w:val="en-US"/>
        </w:rPr>
        <w:t> </w:t>
      </w:r>
      <w:r w:rsidRPr="004A0975">
        <w:rPr>
          <w:color w:val="000000"/>
          <w:sz w:val="28"/>
          <w:szCs w:val="28"/>
          <w:lang w:val="en-US"/>
        </w:rPr>
        <w:t xml:space="preserve">// </w:t>
      </w:r>
      <w:r>
        <w:rPr>
          <w:color w:val="000000"/>
          <w:sz w:val="28"/>
          <w:szCs w:val="28"/>
          <w:lang w:val="en-GB"/>
        </w:rPr>
        <w:t>Perfusion.</w:t>
      </w:r>
      <w:r w:rsidRPr="000C1463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en-GB"/>
        </w:rPr>
        <w:t>– 2001.</w:t>
      </w:r>
      <w:r w:rsidRPr="000C1463">
        <w:rPr>
          <w:color w:val="000000"/>
          <w:sz w:val="28"/>
          <w:szCs w:val="28"/>
          <w:lang w:val="en-US"/>
        </w:rPr>
        <w:t> </w:t>
      </w:r>
      <w:r w:rsidRPr="004A0975">
        <w:rPr>
          <w:color w:val="000000"/>
          <w:sz w:val="28"/>
          <w:szCs w:val="28"/>
          <w:lang w:val="en-GB"/>
        </w:rPr>
        <w:t>– Vol.</w:t>
      </w:r>
      <w:r w:rsidRPr="000C1463">
        <w:rPr>
          <w:color w:val="000000"/>
          <w:sz w:val="28"/>
          <w:szCs w:val="28"/>
          <w:lang w:val="en-US"/>
        </w:rPr>
        <w:t> </w:t>
      </w:r>
      <w:r w:rsidRPr="004A0975">
        <w:rPr>
          <w:color w:val="000000"/>
          <w:sz w:val="28"/>
          <w:szCs w:val="28"/>
          <w:lang w:val="en-GB"/>
        </w:rPr>
        <w:t xml:space="preserve">16, </w:t>
      </w:r>
      <w:r w:rsidRPr="004A0975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 </w:t>
      </w:r>
      <w:r w:rsidRPr="004A0975">
        <w:rPr>
          <w:color w:val="000000"/>
          <w:sz w:val="28"/>
          <w:szCs w:val="28"/>
          <w:lang w:val="en-GB"/>
        </w:rPr>
        <w:t>4.</w:t>
      </w:r>
      <w:r w:rsidRPr="000C1463">
        <w:rPr>
          <w:color w:val="000000"/>
          <w:sz w:val="28"/>
          <w:szCs w:val="28"/>
          <w:lang w:val="en-US"/>
        </w:rPr>
        <w:t> </w:t>
      </w:r>
      <w:r w:rsidRPr="004A0975">
        <w:rPr>
          <w:color w:val="000000"/>
          <w:sz w:val="28"/>
          <w:szCs w:val="28"/>
          <w:lang w:val="en-GB"/>
        </w:rPr>
        <w:t>– P.</w:t>
      </w:r>
      <w:r w:rsidRPr="000C1463">
        <w:rPr>
          <w:color w:val="000000"/>
          <w:sz w:val="28"/>
          <w:szCs w:val="28"/>
          <w:lang w:val="en-US"/>
        </w:rPr>
        <w:t> </w:t>
      </w:r>
      <w:r w:rsidRPr="004A0975">
        <w:rPr>
          <w:color w:val="000000"/>
          <w:sz w:val="28"/>
          <w:szCs w:val="28"/>
          <w:lang w:val="en-GB"/>
        </w:rPr>
        <w:t>301</w:t>
      </w:r>
      <w:r w:rsidRPr="000C1463">
        <w:rPr>
          <w:color w:val="000000"/>
          <w:sz w:val="28"/>
          <w:szCs w:val="28"/>
          <w:lang w:val="en-US"/>
        </w:rPr>
        <w:t>–</w:t>
      </w:r>
      <w:r w:rsidRPr="004A0975">
        <w:rPr>
          <w:color w:val="000000"/>
          <w:sz w:val="28"/>
          <w:szCs w:val="28"/>
          <w:lang w:val="en-GB"/>
        </w:rPr>
        <w:t>308.</w:t>
      </w:r>
    </w:p>
    <w:p w:rsidR="00EE70A7" w:rsidRPr="000C1463" w:rsidRDefault="00EE70A7" w:rsidP="00EE70A7">
      <w:pPr>
        <w:pStyle w:val="a6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iCs/>
          <w:color w:val="000000"/>
          <w:sz w:val="28"/>
          <w:szCs w:val="28"/>
          <w:lang w:val="uk-UA"/>
        </w:rPr>
      </w:pPr>
      <w:r w:rsidRPr="004A0975">
        <w:rPr>
          <w:iCs/>
          <w:color w:val="000000"/>
          <w:sz w:val="28"/>
          <w:szCs w:val="28"/>
          <w:lang w:val="en-US"/>
        </w:rPr>
        <w:t>4. </w:t>
      </w:r>
      <w:r>
        <w:rPr>
          <w:iCs/>
          <w:color w:val="000000"/>
          <w:sz w:val="28"/>
          <w:szCs w:val="28"/>
          <w:lang w:val="en-US"/>
        </w:rPr>
        <w:t>Williams M.</w:t>
      </w:r>
      <w:r>
        <w:rPr>
          <w:iCs/>
          <w:color w:val="000000"/>
          <w:sz w:val="28"/>
          <w:szCs w:val="28"/>
          <w:lang w:val="uk-UA"/>
        </w:rPr>
        <w:t xml:space="preserve"> І</w:t>
      </w:r>
      <w:r w:rsidRPr="004A0975">
        <w:rPr>
          <w:iCs/>
          <w:color w:val="000000"/>
          <w:sz w:val="28"/>
          <w:szCs w:val="28"/>
          <w:lang w:val="en-US"/>
        </w:rPr>
        <w:t>. et al</w:t>
      </w:r>
      <w:r>
        <w:rPr>
          <w:iCs/>
          <w:color w:val="000000"/>
          <w:sz w:val="28"/>
          <w:szCs w:val="28"/>
          <w:lang w:val="uk-UA"/>
        </w:rPr>
        <w:t>.</w:t>
      </w:r>
      <w:r w:rsidRPr="004A0975">
        <w:rPr>
          <w:iCs/>
          <w:color w:val="000000"/>
          <w:sz w:val="28"/>
          <w:szCs w:val="28"/>
          <w:lang w:val="en-US"/>
        </w:rPr>
        <w:t xml:space="preserve"> Preoperative hematocrit is a </w:t>
      </w:r>
      <w:proofErr w:type="spellStart"/>
      <w:r w:rsidRPr="004A0975">
        <w:rPr>
          <w:iCs/>
          <w:color w:val="000000"/>
          <w:sz w:val="28"/>
          <w:szCs w:val="28"/>
          <w:lang w:val="en-US"/>
        </w:rPr>
        <w:t>powerfull</w:t>
      </w:r>
      <w:proofErr w:type="spellEnd"/>
      <w:r w:rsidRPr="004A0975">
        <w:rPr>
          <w:iCs/>
          <w:color w:val="000000"/>
          <w:sz w:val="28"/>
          <w:szCs w:val="28"/>
          <w:lang w:val="en-US"/>
        </w:rPr>
        <w:t xml:space="preserve"> predictor of adver</w:t>
      </w:r>
      <w:r>
        <w:rPr>
          <w:iCs/>
          <w:color w:val="000000"/>
          <w:sz w:val="28"/>
          <w:szCs w:val="28"/>
          <w:lang w:val="en-US"/>
        </w:rPr>
        <w:t>se outcomes in coronary surgery</w:t>
      </w:r>
      <w:r>
        <w:rPr>
          <w:iCs/>
          <w:color w:val="000000"/>
          <w:sz w:val="28"/>
          <w:szCs w:val="28"/>
          <w:lang w:val="uk-UA"/>
        </w:rPr>
        <w:t xml:space="preserve"> // </w:t>
      </w:r>
      <w:r w:rsidRPr="004A0975">
        <w:rPr>
          <w:iCs/>
          <w:color w:val="000000"/>
          <w:sz w:val="28"/>
          <w:szCs w:val="28"/>
          <w:lang w:val="en-US"/>
        </w:rPr>
        <w:t>Ann Thor</w:t>
      </w:r>
      <w:r>
        <w:rPr>
          <w:iCs/>
          <w:color w:val="000000"/>
          <w:sz w:val="28"/>
          <w:szCs w:val="28"/>
          <w:lang w:val="uk-UA"/>
        </w:rPr>
        <w:t xml:space="preserve">. </w:t>
      </w:r>
      <w:proofErr w:type="spellStart"/>
      <w:proofErr w:type="gramStart"/>
      <w:r w:rsidRPr="004A0975">
        <w:rPr>
          <w:iCs/>
          <w:color w:val="000000"/>
          <w:sz w:val="28"/>
          <w:szCs w:val="28"/>
          <w:lang w:val="en-US"/>
        </w:rPr>
        <w:t>Surg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. – </w:t>
      </w:r>
      <w:r w:rsidRPr="004A0975">
        <w:rPr>
          <w:iCs/>
          <w:color w:val="000000"/>
          <w:sz w:val="28"/>
          <w:szCs w:val="28"/>
          <w:lang w:val="en-US"/>
        </w:rPr>
        <w:t>2013</w:t>
      </w:r>
      <w:r>
        <w:rPr>
          <w:iCs/>
          <w:color w:val="000000"/>
          <w:sz w:val="28"/>
          <w:szCs w:val="28"/>
          <w:lang w:val="uk-UA"/>
        </w:rPr>
        <w:t>.</w:t>
      </w:r>
      <w:proofErr w:type="gramEnd"/>
      <w:r>
        <w:rPr>
          <w:iCs/>
          <w:color w:val="000000"/>
          <w:sz w:val="28"/>
          <w:szCs w:val="28"/>
          <w:lang w:val="uk-UA"/>
        </w:rPr>
        <w:t xml:space="preserve"> – </w:t>
      </w:r>
      <w:r w:rsidRPr="004A0975">
        <w:rPr>
          <w:iCs/>
          <w:color w:val="000000"/>
          <w:sz w:val="28"/>
          <w:szCs w:val="28"/>
          <w:lang w:val="en-US"/>
        </w:rPr>
        <w:t xml:space="preserve"> </w:t>
      </w:r>
      <w:r w:rsidRPr="004A0975">
        <w:rPr>
          <w:color w:val="000000"/>
          <w:sz w:val="28"/>
          <w:szCs w:val="28"/>
          <w:lang w:val="en-US"/>
        </w:rPr>
        <w:t>V</w:t>
      </w:r>
      <w:r w:rsidRPr="004A0975">
        <w:rPr>
          <w:iCs/>
          <w:color w:val="000000"/>
          <w:sz w:val="28"/>
          <w:szCs w:val="28"/>
          <w:lang w:val="en-US"/>
        </w:rPr>
        <w:t>ol</w:t>
      </w:r>
      <w:r>
        <w:rPr>
          <w:iCs/>
          <w:color w:val="000000"/>
          <w:sz w:val="28"/>
          <w:szCs w:val="28"/>
          <w:lang w:val="uk-UA"/>
        </w:rPr>
        <w:t>. </w:t>
      </w:r>
      <w:r w:rsidRPr="004A0975">
        <w:rPr>
          <w:iCs/>
          <w:color w:val="000000"/>
          <w:sz w:val="28"/>
          <w:szCs w:val="28"/>
          <w:lang w:val="en-US"/>
        </w:rPr>
        <w:t>96</w:t>
      </w:r>
      <w:r>
        <w:rPr>
          <w:iCs/>
          <w:color w:val="000000"/>
          <w:sz w:val="28"/>
          <w:szCs w:val="28"/>
          <w:lang w:val="uk-UA"/>
        </w:rPr>
        <w:t xml:space="preserve">. – </w:t>
      </w:r>
      <w:r w:rsidRPr="004A0975">
        <w:rPr>
          <w:iCs/>
          <w:color w:val="000000"/>
          <w:sz w:val="28"/>
          <w:szCs w:val="28"/>
          <w:lang w:val="en-US"/>
        </w:rPr>
        <w:t>P.</w:t>
      </w:r>
      <w:r>
        <w:rPr>
          <w:iCs/>
          <w:color w:val="000000"/>
          <w:sz w:val="28"/>
          <w:szCs w:val="28"/>
          <w:lang w:val="uk-UA"/>
        </w:rPr>
        <w:t> </w:t>
      </w:r>
      <w:r w:rsidRPr="004A0975">
        <w:rPr>
          <w:iCs/>
          <w:color w:val="000000"/>
          <w:sz w:val="28"/>
          <w:szCs w:val="28"/>
          <w:lang w:val="en-US"/>
        </w:rPr>
        <w:t>1628</w:t>
      </w:r>
      <w:r>
        <w:rPr>
          <w:iCs/>
          <w:color w:val="000000"/>
          <w:sz w:val="28"/>
          <w:szCs w:val="28"/>
          <w:lang w:val="uk-UA"/>
        </w:rPr>
        <w:t>–</w:t>
      </w:r>
      <w:r w:rsidRPr="004A0975">
        <w:rPr>
          <w:iCs/>
          <w:color w:val="000000"/>
          <w:sz w:val="28"/>
          <w:szCs w:val="28"/>
          <w:lang w:val="en-US"/>
        </w:rPr>
        <w:t>1634</w:t>
      </w:r>
      <w:r>
        <w:rPr>
          <w:iCs/>
          <w:color w:val="000000"/>
          <w:sz w:val="28"/>
          <w:szCs w:val="28"/>
          <w:lang w:val="uk-UA"/>
        </w:rPr>
        <w:t>.</w:t>
      </w:r>
    </w:p>
    <w:p w:rsidR="00EE70A7" w:rsidRPr="000C1463" w:rsidRDefault="00EE70A7" w:rsidP="00EE70A7">
      <w:pPr>
        <w:pStyle w:val="a6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color w:val="000000"/>
          <w:sz w:val="28"/>
          <w:szCs w:val="28"/>
          <w:lang w:val="uk-UA"/>
        </w:rPr>
      </w:pPr>
      <w:r w:rsidRPr="004A0975">
        <w:rPr>
          <w:color w:val="000000"/>
          <w:sz w:val="28"/>
          <w:szCs w:val="28"/>
          <w:lang w:val="en-US"/>
        </w:rPr>
        <w:t>5. H</w:t>
      </w:r>
      <w:r>
        <w:rPr>
          <w:color w:val="000000"/>
          <w:sz w:val="28"/>
          <w:szCs w:val="28"/>
          <w:lang w:val="en-US"/>
        </w:rPr>
        <w:t>andbook of Transfusion Medicine</w:t>
      </w:r>
      <w:r>
        <w:rPr>
          <w:color w:val="000000"/>
          <w:sz w:val="28"/>
          <w:szCs w:val="28"/>
          <w:lang w:val="uk-UA"/>
        </w:rPr>
        <w:t> </w:t>
      </w:r>
      <w:r w:rsidRPr="004A0975">
        <w:rPr>
          <w:color w:val="000000"/>
          <w:sz w:val="28"/>
          <w:szCs w:val="28"/>
          <w:lang w:val="en-US"/>
        </w:rPr>
        <w:t xml:space="preserve">/ </w:t>
      </w:r>
      <w:r>
        <w:rPr>
          <w:bCs/>
          <w:color w:val="000000"/>
          <w:sz w:val="28"/>
          <w:szCs w:val="28"/>
          <w:lang w:val="en-US"/>
        </w:rPr>
        <w:t>Editor D B L McClelland.</w:t>
      </w:r>
      <w:r>
        <w:rPr>
          <w:bCs/>
          <w:color w:val="000000"/>
          <w:sz w:val="28"/>
          <w:szCs w:val="28"/>
          <w:lang w:val="uk-UA"/>
        </w:rPr>
        <w:t xml:space="preserve"> – </w:t>
      </w:r>
      <w:r w:rsidRPr="004A0975">
        <w:rPr>
          <w:iCs/>
          <w:color w:val="000000"/>
          <w:sz w:val="28"/>
          <w:szCs w:val="28"/>
          <w:lang w:val="en-US"/>
        </w:rPr>
        <w:t>London</w:t>
      </w:r>
      <w:r>
        <w:rPr>
          <w:iCs/>
          <w:color w:val="000000"/>
          <w:sz w:val="28"/>
          <w:szCs w:val="28"/>
          <w:lang w:val="uk-UA"/>
        </w:rPr>
        <w:t> </w:t>
      </w:r>
      <w:r w:rsidRPr="004A0975">
        <w:rPr>
          <w:color w:val="000000"/>
          <w:sz w:val="28"/>
          <w:szCs w:val="28"/>
          <w:lang w:val="en-US"/>
        </w:rPr>
        <w:t>: TSO</w:t>
      </w:r>
      <w:r>
        <w:rPr>
          <w:color w:val="000000"/>
          <w:sz w:val="28"/>
          <w:szCs w:val="28"/>
          <w:lang w:val="uk-UA"/>
        </w:rPr>
        <w:t>,</w:t>
      </w:r>
      <w:r w:rsidRPr="004A0975">
        <w:rPr>
          <w:color w:val="000000"/>
          <w:sz w:val="28"/>
          <w:szCs w:val="28"/>
          <w:lang w:val="en-US"/>
        </w:rPr>
        <w:t xml:space="preserve"> 2007.</w:t>
      </w:r>
      <w:r>
        <w:rPr>
          <w:color w:val="000000"/>
          <w:sz w:val="28"/>
          <w:szCs w:val="28"/>
          <w:lang w:val="uk-UA"/>
        </w:rPr>
        <w:t> –</w:t>
      </w:r>
      <w:r w:rsidRPr="004A0975">
        <w:rPr>
          <w:color w:val="000000"/>
          <w:sz w:val="28"/>
          <w:szCs w:val="28"/>
          <w:lang w:val="en-US"/>
        </w:rPr>
        <w:t xml:space="preserve"> P.</w:t>
      </w:r>
      <w:r>
        <w:rPr>
          <w:color w:val="000000"/>
          <w:sz w:val="28"/>
          <w:szCs w:val="28"/>
          <w:lang w:val="uk-UA"/>
        </w:rPr>
        <w:t> </w:t>
      </w:r>
      <w:proofErr w:type="gramStart"/>
      <w:r w:rsidRPr="004A0975">
        <w:rPr>
          <w:color w:val="000000"/>
          <w:sz w:val="28"/>
          <w:szCs w:val="28"/>
          <w:lang w:val="en-US"/>
        </w:rPr>
        <w:t>15, 26</w:t>
      </w:r>
      <w:r>
        <w:rPr>
          <w:color w:val="000000"/>
          <w:sz w:val="28"/>
          <w:szCs w:val="28"/>
          <w:lang w:val="uk-UA"/>
        </w:rPr>
        <w:t>–</w:t>
      </w:r>
      <w:r w:rsidRPr="004A0975">
        <w:rPr>
          <w:color w:val="000000"/>
          <w:sz w:val="28"/>
          <w:szCs w:val="28"/>
          <w:lang w:val="en-US"/>
        </w:rPr>
        <w:t>27, 31</w:t>
      </w:r>
      <w:r>
        <w:rPr>
          <w:color w:val="000000"/>
          <w:sz w:val="28"/>
          <w:szCs w:val="28"/>
          <w:lang w:val="uk-UA"/>
        </w:rPr>
        <w:t>.</w:t>
      </w:r>
      <w:proofErr w:type="gramEnd"/>
    </w:p>
    <w:p w:rsidR="00EE70A7" w:rsidRPr="004A0975" w:rsidRDefault="00EE70A7" w:rsidP="00EE70A7">
      <w:pPr>
        <w:pStyle w:val="a6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iCs/>
          <w:color w:val="000000"/>
          <w:sz w:val="28"/>
          <w:szCs w:val="28"/>
          <w:lang w:val="en-US"/>
        </w:rPr>
      </w:pPr>
      <w:r w:rsidRPr="004A0975">
        <w:rPr>
          <w:color w:val="000000"/>
          <w:spacing w:val="-1"/>
          <w:sz w:val="28"/>
          <w:szCs w:val="28"/>
          <w:lang w:val="en-US"/>
        </w:rPr>
        <w:t>6. </w:t>
      </w:r>
      <w:proofErr w:type="spellStart"/>
      <w:r w:rsidRPr="004A0975">
        <w:rPr>
          <w:color w:val="000000"/>
          <w:spacing w:val="-1"/>
          <w:sz w:val="28"/>
          <w:szCs w:val="28"/>
          <w:lang w:val="en-US"/>
        </w:rPr>
        <w:t>Heiss</w:t>
      </w:r>
      <w:proofErr w:type="spellEnd"/>
      <w:r w:rsidRPr="004A0975">
        <w:rPr>
          <w:color w:val="000000"/>
          <w:spacing w:val="-1"/>
          <w:sz w:val="28"/>
          <w:szCs w:val="28"/>
          <w:lang w:val="en-US"/>
        </w:rPr>
        <w:t xml:space="preserve"> M. M. Immunosuppressio</w:t>
      </w:r>
      <w:r>
        <w:rPr>
          <w:color w:val="000000"/>
          <w:spacing w:val="-1"/>
          <w:sz w:val="28"/>
          <w:szCs w:val="28"/>
          <w:lang w:val="en-US"/>
        </w:rPr>
        <w:t>n and Transfusion</w:t>
      </w:r>
      <w:r>
        <w:rPr>
          <w:color w:val="000000"/>
          <w:spacing w:val="-1"/>
          <w:sz w:val="28"/>
          <w:szCs w:val="28"/>
          <w:lang w:val="uk-UA"/>
        </w:rPr>
        <w:t> </w:t>
      </w:r>
      <w:r>
        <w:rPr>
          <w:color w:val="000000"/>
          <w:spacing w:val="-1"/>
          <w:sz w:val="28"/>
          <w:szCs w:val="28"/>
          <w:lang w:val="en-US"/>
        </w:rPr>
        <w:t>/ M.</w:t>
      </w:r>
      <w:r>
        <w:rPr>
          <w:color w:val="000000"/>
          <w:spacing w:val="-1"/>
          <w:sz w:val="28"/>
          <w:szCs w:val="28"/>
          <w:lang w:val="uk-UA"/>
        </w:rPr>
        <w:t> </w:t>
      </w:r>
      <w:r>
        <w:rPr>
          <w:color w:val="000000"/>
          <w:spacing w:val="-1"/>
          <w:sz w:val="28"/>
          <w:szCs w:val="28"/>
          <w:lang w:val="en-US"/>
        </w:rPr>
        <w:t>M.</w:t>
      </w:r>
      <w:r>
        <w:rPr>
          <w:color w:val="000000"/>
          <w:spacing w:val="-1"/>
          <w:sz w:val="28"/>
          <w:szCs w:val="28"/>
          <w:lang w:val="uk-UA"/>
        </w:rPr>
        <w:t> 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Heiss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 </w:t>
      </w:r>
      <w:r w:rsidRPr="004A0975">
        <w:rPr>
          <w:color w:val="000000"/>
          <w:spacing w:val="-1"/>
          <w:sz w:val="28"/>
          <w:szCs w:val="28"/>
          <w:lang w:val="en-US"/>
        </w:rPr>
        <w:t xml:space="preserve">// TATM </w:t>
      </w:r>
      <w:r>
        <w:rPr>
          <w:color w:val="000000"/>
          <w:spacing w:val="-3"/>
          <w:sz w:val="28"/>
          <w:szCs w:val="28"/>
          <w:lang w:val="en-US"/>
        </w:rPr>
        <w:t>Journal.</w:t>
      </w:r>
      <w:r>
        <w:rPr>
          <w:color w:val="000000"/>
          <w:spacing w:val="-3"/>
          <w:sz w:val="28"/>
          <w:szCs w:val="28"/>
          <w:lang w:val="uk-UA"/>
        </w:rPr>
        <w:t> </w:t>
      </w:r>
      <w:r>
        <w:rPr>
          <w:lang w:val="uk-UA"/>
        </w:rPr>
        <w:t xml:space="preserve">– </w:t>
      </w:r>
      <w:r w:rsidRPr="004A0975">
        <w:rPr>
          <w:color w:val="000000"/>
          <w:spacing w:val="-3"/>
          <w:sz w:val="28"/>
          <w:szCs w:val="28"/>
          <w:lang w:val="en-US"/>
        </w:rPr>
        <w:t>2000.</w:t>
      </w:r>
      <w:r>
        <w:rPr>
          <w:color w:val="000000"/>
          <w:spacing w:val="-3"/>
          <w:sz w:val="28"/>
          <w:szCs w:val="28"/>
          <w:lang w:val="uk-UA"/>
        </w:rPr>
        <w:t> </w:t>
      </w:r>
      <w:r w:rsidRPr="004A0975">
        <w:rPr>
          <w:color w:val="000000"/>
          <w:spacing w:val="-3"/>
          <w:sz w:val="28"/>
          <w:szCs w:val="28"/>
          <w:lang w:val="en-US"/>
        </w:rPr>
        <w:t>– Vol.</w:t>
      </w:r>
      <w:r>
        <w:rPr>
          <w:color w:val="000000"/>
          <w:spacing w:val="-3"/>
          <w:sz w:val="28"/>
          <w:szCs w:val="28"/>
          <w:lang w:val="uk-UA"/>
        </w:rPr>
        <w:t> </w:t>
      </w:r>
      <w:r w:rsidRPr="004A0975">
        <w:rPr>
          <w:color w:val="000000"/>
          <w:spacing w:val="-3"/>
          <w:sz w:val="28"/>
          <w:szCs w:val="28"/>
          <w:lang w:val="en-US"/>
        </w:rPr>
        <w:t>3.</w:t>
      </w:r>
      <w:r>
        <w:rPr>
          <w:color w:val="000000"/>
          <w:spacing w:val="-3"/>
          <w:sz w:val="28"/>
          <w:szCs w:val="28"/>
          <w:lang w:val="uk-UA"/>
        </w:rPr>
        <w:t> </w:t>
      </w:r>
      <w:r w:rsidRPr="004A0975">
        <w:rPr>
          <w:color w:val="000000"/>
          <w:spacing w:val="-3"/>
          <w:sz w:val="28"/>
          <w:szCs w:val="28"/>
          <w:lang w:val="en-US"/>
        </w:rPr>
        <w:t>– P.</w:t>
      </w:r>
      <w:r>
        <w:rPr>
          <w:color w:val="000000"/>
          <w:spacing w:val="-3"/>
          <w:sz w:val="28"/>
          <w:szCs w:val="28"/>
          <w:lang w:val="uk-UA"/>
        </w:rPr>
        <w:t> </w:t>
      </w:r>
      <w:r w:rsidRPr="004A0975">
        <w:rPr>
          <w:color w:val="000000"/>
          <w:spacing w:val="-3"/>
          <w:sz w:val="28"/>
          <w:szCs w:val="28"/>
          <w:lang w:val="en-US"/>
        </w:rPr>
        <w:t>26</w:t>
      </w:r>
      <w:r>
        <w:rPr>
          <w:color w:val="000000"/>
          <w:spacing w:val="-3"/>
          <w:sz w:val="28"/>
          <w:szCs w:val="28"/>
          <w:lang w:val="uk-UA"/>
        </w:rPr>
        <w:t>–</w:t>
      </w:r>
      <w:r w:rsidRPr="004A0975">
        <w:rPr>
          <w:color w:val="000000"/>
          <w:spacing w:val="-3"/>
          <w:sz w:val="28"/>
          <w:szCs w:val="28"/>
          <w:lang w:val="en-US"/>
        </w:rPr>
        <w:t>31.</w:t>
      </w:r>
    </w:p>
    <w:p w:rsidR="00EE70A7" w:rsidRPr="000C1463" w:rsidRDefault="00EE70A7" w:rsidP="00EE70A7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A0975">
        <w:rPr>
          <w:color w:val="000000"/>
          <w:sz w:val="28"/>
          <w:szCs w:val="28"/>
          <w:lang w:val="en-US"/>
        </w:rPr>
        <w:t>7. </w:t>
      </w:r>
      <w:proofErr w:type="spellStart"/>
      <w:r>
        <w:rPr>
          <w:color w:val="000000"/>
          <w:sz w:val="28"/>
          <w:szCs w:val="28"/>
          <w:lang w:val="en-US"/>
        </w:rPr>
        <w:t>Engoren</w:t>
      </w:r>
      <w:proofErr w:type="spellEnd"/>
      <w:r>
        <w:rPr>
          <w:color w:val="000000"/>
          <w:sz w:val="28"/>
          <w:szCs w:val="28"/>
          <w:lang w:val="en-US"/>
        </w:rPr>
        <w:t xml:space="preserve"> M. et a</w:t>
      </w:r>
      <w:r w:rsidRPr="004A0975">
        <w:rPr>
          <w:color w:val="000000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  <w:lang w:val="uk-UA"/>
        </w:rPr>
        <w:t>.</w:t>
      </w:r>
      <w:r w:rsidRPr="004A0975">
        <w:rPr>
          <w:color w:val="000000"/>
          <w:sz w:val="28"/>
          <w:szCs w:val="28"/>
          <w:lang w:val="en-US"/>
        </w:rPr>
        <w:t xml:space="preserve"> Is transfusion associated with graft occlusion after cardiac operations?</w:t>
      </w:r>
      <w:r>
        <w:rPr>
          <w:color w:val="000000"/>
          <w:sz w:val="28"/>
          <w:szCs w:val="28"/>
          <w:lang w:val="uk-UA"/>
        </w:rPr>
        <w:t> </w:t>
      </w:r>
      <w:r w:rsidRPr="004A0975">
        <w:rPr>
          <w:color w:val="000000"/>
          <w:sz w:val="28"/>
          <w:szCs w:val="28"/>
          <w:lang w:val="en-US"/>
        </w:rPr>
        <w:t>/</w:t>
      </w:r>
      <w:r>
        <w:rPr>
          <w:color w:val="000000"/>
          <w:sz w:val="28"/>
          <w:szCs w:val="28"/>
          <w:lang w:val="uk-UA"/>
        </w:rPr>
        <w:t>/</w:t>
      </w:r>
      <w:r w:rsidRPr="004A0975">
        <w:rPr>
          <w:color w:val="000000"/>
          <w:sz w:val="28"/>
          <w:szCs w:val="28"/>
          <w:lang w:val="en-US"/>
        </w:rPr>
        <w:t xml:space="preserve"> Annals of Thoracic Surgery</w:t>
      </w:r>
      <w:r>
        <w:rPr>
          <w:color w:val="000000"/>
          <w:sz w:val="28"/>
          <w:szCs w:val="28"/>
          <w:lang w:val="uk-UA"/>
        </w:rPr>
        <w:t xml:space="preserve">. – </w:t>
      </w:r>
      <w:r w:rsidRPr="004A0975">
        <w:rPr>
          <w:color w:val="000000"/>
          <w:sz w:val="28"/>
          <w:szCs w:val="28"/>
          <w:lang w:val="en-US"/>
        </w:rPr>
        <w:t>2015</w:t>
      </w:r>
      <w:r>
        <w:rPr>
          <w:color w:val="000000"/>
          <w:sz w:val="28"/>
          <w:szCs w:val="28"/>
          <w:lang w:val="uk-UA"/>
        </w:rPr>
        <w:t xml:space="preserve">. – </w:t>
      </w:r>
      <w:r w:rsidRPr="004A0975"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en-US"/>
        </w:rPr>
        <w:t>ol</w:t>
      </w:r>
      <w:r>
        <w:rPr>
          <w:color w:val="000000"/>
          <w:sz w:val="28"/>
          <w:szCs w:val="28"/>
          <w:lang w:val="uk-UA"/>
        </w:rPr>
        <w:t>. </w:t>
      </w:r>
      <w:r w:rsidRPr="004A0975">
        <w:rPr>
          <w:color w:val="000000"/>
          <w:sz w:val="28"/>
          <w:szCs w:val="28"/>
          <w:lang w:val="en-US"/>
        </w:rPr>
        <w:t>99</w:t>
      </w:r>
      <w:r>
        <w:rPr>
          <w:color w:val="000000"/>
          <w:sz w:val="28"/>
          <w:szCs w:val="28"/>
          <w:lang w:val="uk-UA"/>
        </w:rPr>
        <w:t xml:space="preserve">. – </w:t>
      </w:r>
      <w:r>
        <w:rPr>
          <w:color w:val="000000"/>
          <w:sz w:val="28"/>
          <w:szCs w:val="28"/>
          <w:lang w:val="en-US"/>
        </w:rPr>
        <w:t>P.</w:t>
      </w:r>
      <w:r>
        <w:rPr>
          <w:color w:val="000000"/>
          <w:sz w:val="28"/>
          <w:szCs w:val="28"/>
          <w:lang w:val="uk-UA"/>
        </w:rPr>
        <w:t> </w:t>
      </w:r>
      <w:r w:rsidRPr="004A0975">
        <w:rPr>
          <w:color w:val="000000"/>
          <w:sz w:val="28"/>
          <w:szCs w:val="28"/>
          <w:lang w:val="en-US"/>
        </w:rPr>
        <w:t>502</w:t>
      </w:r>
      <w:r>
        <w:rPr>
          <w:color w:val="000000"/>
          <w:sz w:val="28"/>
          <w:szCs w:val="28"/>
          <w:lang w:val="uk-UA"/>
        </w:rPr>
        <w:t>–</w:t>
      </w:r>
      <w:r w:rsidRPr="004A0975">
        <w:rPr>
          <w:color w:val="000000"/>
          <w:sz w:val="28"/>
          <w:szCs w:val="28"/>
          <w:lang w:val="en-US"/>
        </w:rPr>
        <w:t>508</w:t>
      </w:r>
      <w:r>
        <w:rPr>
          <w:color w:val="000000"/>
          <w:sz w:val="28"/>
          <w:szCs w:val="28"/>
          <w:lang w:val="uk-UA"/>
        </w:rPr>
        <w:t>.</w:t>
      </w:r>
    </w:p>
    <w:p w:rsidR="00EE70A7" w:rsidRPr="004A0975" w:rsidRDefault="00EE70A7" w:rsidP="00EE70A7">
      <w:pPr>
        <w:spacing w:line="360" w:lineRule="auto"/>
        <w:jc w:val="both"/>
        <w:rPr>
          <w:sz w:val="28"/>
          <w:szCs w:val="28"/>
          <w:lang w:val="en-US"/>
        </w:rPr>
      </w:pPr>
      <w:r w:rsidRPr="004A0975">
        <w:rPr>
          <w:sz w:val="28"/>
          <w:szCs w:val="28"/>
          <w:lang w:val="en-US"/>
        </w:rPr>
        <w:lastRenderedPageBreak/>
        <w:t>8</w:t>
      </w:r>
      <w:r w:rsidRPr="004A0975">
        <w:rPr>
          <w:color w:val="000000"/>
          <w:sz w:val="28"/>
          <w:szCs w:val="28"/>
          <w:lang w:val="en-US"/>
        </w:rPr>
        <w:t>. </w:t>
      </w:r>
      <w:proofErr w:type="spellStart"/>
      <w:r w:rsidRPr="004A0975">
        <w:rPr>
          <w:color w:val="000000"/>
          <w:sz w:val="28"/>
          <w:szCs w:val="28"/>
          <w:lang w:val="en-US"/>
        </w:rPr>
        <w:t>Bhaskar</w:t>
      </w:r>
      <w:proofErr w:type="spellEnd"/>
      <w:r w:rsidRPr="004A0975">
        <w:rPr>
          <w:color w:val="000000"/>
          <w:sz w:val="28"/>
          <w:szCs w:val="28"/>
          <w:lang w:val="en-US"/>
        </w:rPr>
        <w:t xml:space="preserve"> B. et al</w:t>
      </w:r>
      <w:r>
        <w:rPr>
          <w:color w:val="000000"/>
          <w:sz w:val="28"/>
          <w:szCs w:val="28"/>
          <w:lang w:val="uk-UA"/>
        </w:rPr>
        <w:t>.</w:t>
      </w:r>
      <w:r w:rsidRPr="004A0975">
        <w:rPr>
          <w:color w:val="000000"/>
          <w:sz w:val="28"/>
          <w:szCs w:val="28"/>
          <w:lang w:val="en-US"/>
        </w:rPr>
        <w:t xml:space="preserve"> Impact of blood product transfusion on short and long-</w:t>
      </w:r>
      <w:proofErr w:type="gramStart"/>
      <w:r w:rsidRPr="004A0975">
        <w:rPr>
          <w:color w:val="000000"/>
          <w:sz w:val="28"/>
          <w:szCs w:val="28"/>
          <w:lang w:val="en-US"/>
        </w:rPr>
        <w:t>term  survival</w:t>
      </w:r>
      <w:proofErr w:type="gramEnd"/>
      <w:r w:rsidRPr="004A0975">
        <w:rPr>
          <w:color w:val="000000"/>
          <w:sz w:val="28"/>
          <w:szCs w:val="28"/>
          <w:lang w:val="en-US"/>
        </w:rPr>
        <w:t xml:space="preserve">  after cardiac operations</w:t>
      </w:r>
      <w:r>
        <w:rPr>
          <w:color w:val="000000"/>
          <w:sz w:val="28"/>
          <w:szCs w:val="28"/>
          <w:lang w:val="uk-UA"/>
        </w:rPr>
        <w:t xml:space="preserve"> // </w:t>
      </w:r>
      <w:r w:rsidRPr="004A0975">
        <w:rPr>
          <w:color w:val="000000"/>
          <w:sz w:val="28"/>
          <w:szCs w:val="28"/>
          <w:lang w:val="en-US"/>
        </w:rPr>
        <w:t>Annals of Thoracic Surgery</w:t>
      </w:r>
      <w:r>
        <w:rPr>
          <w:color w:val="000000"/>
          <w:sz w:val="28"/>
          <w:szCs w:val="28"/>
          <w:lang w:val="uk-UA"/>
        </w:rPr>
        <w:t xml:space="preserve">. – </w:t>
      </w:r>
      <w:r w:rsidRPr="004A0975">
        <w:rPr>
          <w:color w:val="000000"/>
          <w:sz w:val="28"/>
          <w:szCs w:val="28"/>
          <w:lang w:val="en-US"/>
        </w:rPr>
        <w:t>2012</w:t>
      </w:r>
      <w:r>
        <w:rPr>
          <w:color w:val="000000"/>
          <w:sz w:val="28"/>
          <w:szCs w:val="28"/>
          <w:lang w:val="uk-UA"/>
        </w:rPr>
        <w:t xml:space="preserve">. – </w:t>
      </w:r>
      <w:r w:rsidRPr="004A0975">
        <w:rPr>
          <w:color w:val="000000"/>
          <w:sz w:val="28"/>
          <w:szCs w:val="28"/>
          <w:lang w:val="en-US"/>
        </w:rPr>
        <w:t>Vol</w:t>
      </w:r>
      <w:r>
        <w:rPr>
          <w:color w:val="000000"/>
          <w:sz w:val="28"/>
          <w:szCs w:val="28"/>
          <w:lang w:val="uk-UA"/>
        </w:rPr>
        <w:t>. </w:t>
      </w:r>
      <w:r w:rsidRPr="004A0975">
        <w:rPr>
          <w:color w:val="000000"/>
          <w:sz w:val="28"/>
          <w:szCs w:val="28"/>
          <w:lang w:val="en-US"/>
        </w:rPr>
        <w:t>94</w:t>
      </w:r>
      <w:r>
        <w:rPr>
          <w:color w:val="000000"/>
          <w:sz w:val="28"/>
          <w:szCs w:val="28"/>
          <w:lang w:val="uk-UA"/>
        </w:rPr>
        <w:t xml:space="preserve">. – </w:t>
      </w:r>
      <w:r w:rsidRPr="004A0975">
        <w:rPr>
          <w:color w:val="000000"/>
          <w:sz w:val="28"/>
          <w:szCs w:val="28"/>
          <w:lang w:val="en-US"/>
        </w:rPr>
        <w:t>P.</w:t>
      </w:r>
      <w:r>
        <w:rPr>
          <w:color w:val="000000"/>
          <w:sz w:val="28"/>
          <w:szCs w:val="28"/>
          <w:lang w:val="uk-UA"/>
        </w:rPr>
        <w:t> </w:t>
      </w:r>
      <w:r w:rsidRPr="004A0975">
        <w:rPr>
          <w:color w:val="000000"/>
          <w:sz w:val="28"/>
          <w:szCs w:val="28"/>
          <w:lang w:val="en-US"/>
        </w:rPr>
        <w:t>469</w:t>
      </w:r>
      <w:r>
        <w:rPr>
          <w:color w:val="000000"/>
          <w:sz w:val="28"/>
          <w:szCs w:val="28"/>
          <w:lang w:val="uk-UA"/>
        </w:rPr>
        <w:t>–</w:t>
      </w:r>
      <w:r w:rsidRPr="004A0975">
        <w:rPr>
          <w:color w:val="000000"/>
          <w:sz w:val="28"/>
          <w:szCs w:val="28"/>
          <w:lang w:val="en-US"/>
        </w:rPr>
        <w:t>467</w:t>
      </w:r>
      <w:r>
        <w:rPr>
          <w:color w:val="000000"/>
          <w:sz w:val="28"/>
          <w:szCs w:val="28"/>
          <w:lang w:val="uk-UA"/>
        </w:rPr>
        <w:t>.</w:t>
      </w:r>
      <w:r w:rsidRPr="004A0975">
        <w:rPr>
          <w:sz w:val="28"/>
          <w:szCs w:val="28"/>
          <w:lang w:val="en-US"/>
        </w:rPr>
        <w:t xml:space="preserve"> </w:t>
      </w:r>
    </w:p>
    <w:p w:rsidR="00EE70A7" w:rsidRPr="000C1463" w:rsidRDefault="00EE70A7" w:rsidP="00EE70A7">
      <w:pPr>
        <w:spacing w:line="360" w:lineRule="auto"/>
        <w:jc w:val="both"/>
        <w:rPr>
          <w:sz w:val="28"/>
          <w:szCs w:val="28"/>
          <w:lang w:val="en-US"/>
        </w:rPr>
      </w:pPr>
      <w:r w:rsidRPr="000C1463">
        <w:rPr>
          <w:sz w:val="28"/>
          <w:szCs w:val="28"/>
          <w:lang w:val="en-US"/>
        </w:rPr>
        <w:t>9</w:t>
      </w:r>
      <w:r w:rsidRPr="000C1463">
        <w:rPr>
          <w:sz w:val="28"/>
          <w:szCs w:val="28"/>
          <w:lang w:val="uk-UA"/>
        </w:rPr>
        <w:t>.</w:t>
      </w:r>
      <w:r w:rsidRPr="000C1463">
        <w:rPr>
          <w:sz w:val="28"/>
          <w:szCs w:val="28"/>
          <w:lang w:val="en-US"/>
        </w:rPr>
        <w:t> Lewis</w:t>
      </w:r>
      <w:r>
        <w:rPr>
          <w:sz w:val="28"/>
          <w:szCs w:val="28"/>
          <w:lang w:val="uk-UA"/>
        </w:rPr>
        <w:t xml:space="preserve"> </w:t>
      </w:r>
      <w:r w:rsidRPr="000C1463">
        <w:rPr>
          <w:sz w:val="28"/>
          <w:szCs w:val="28"/>
          <w:lang w:val="en-US"/>
        </w:rPr>
        <w:t>C.</w:t>
      </w:r>
      <w:r>
        <w:rPr>
          <w:sz w:val="28"/>
          <w:szCs w:val="28"/>
          <w:lang w:val="uk-UA"/>
        </w:rPr>
        <w:t xml:space="preserve"> </w:t>
      </w:r>
      <w:r w:rsidRPr="000C1463">
        <w:rPr>
          <w:sz w:val="28"/>
          <w:szCs w:val="28"/>
          <w:lang w:val="en-US"/>
        </w:rPr>
        <w:t xml:space="preserve">E. </w:t>
      </w:r>
      <w:r w:rsidRPr="004A0975">
        <w:rPr>
          <w:color w:val="000000"/>
          <w:sz w:val="28"/>
          <w:szCs w:val="28"/>
          <w:lang w:val="en-US"/>
        </w:rPr>
        <w:t>et al</w:t>
      </w:r>
      <w:r>
        <w:rPr>
          <w:color w:val="000000"/>
          <w:sz w:val="28"/>
          <w:szCs w:val="28"/>
          <w:lang w:val="uk-UA"/>
        </w:rPr>
        <w:t>.</w:t>
      </w:r>
      <w:r w:rsidRPr="004A0975">
        <w:rPr>
          <w:color w:val="000000"/>
          <w:sz w:val="28"/>
          <w:szCs w:val="28"/>
          <w:lang w:val="en-US"/>
        </w:rPr>
        <w:t xml:space="preserve"> </w:t>
      </w:r>
      <w:r w:rsidRPr="000C1463">
        <w:rPr>
          <w:sz w:val="28"/>
          <w:szCs w:val="28"/>
          <w:lang w:val="en-US"/>
        </w:rPr>
        <w:t>Autologous blood transfusion in elective cardiac valve operations // J. Card. Surg.</w:t>
      </w:r>
      <w:r>
        <w:rPr>
          <w:sz w:val="28"/>
          <w:szCs w:val="28"/>
          <w:lang w:val="uk-UA"/>
        </w:rPr>
        <w:t> </w:t>
      </w:r>
      <w:r w:rsidRPr="000C1463">
        <w:rPr>
          <w:sz w:val="28"/>
          <w:szCs w:val="28"/>
          <w:lang w:val="en-US"/>
        </w:rPr>
        <w:t>– 2005. –</w:t>
      </w:r>
      <w:r>
        <w:rPr>
          <w:sz w:val="28"/>
          <w:szCs w:val="28"/>
          <w:lang w:val="uk-UA"/>
        </w:rPr>
        <w:t xml:space="preserve"> </w:t>
      </w:r>
      <w:r w:rsidRPr="000C1463">
        <w:rPr>
          <w:sz w:val="28"/>
          <w:szCs w:val="28"/>
          <w:lang w:val="en-US"/>
        </w:rPr>
        <w:t>Vol.</w:t>
      </w:r>
      <w:r>
        <w:rPr>
          <w:sz w:val="28"/>
          <w:szCs w:val="28"/>
          <w:lang w:val="uk-UA"/>
        </w:rPr>
        <w:t> </w:t>
      </w:r>
      <w:r w:rsidRPr="000C1463">
        <w:rPr>
          <w:sz w:val="28"/>
          <w:szCs w:val="28"/>
          <w:lang w:val="en-US"/>
        </w:rPr>
        <w:t>20. – P.</w:t>
      </w:r>
      <w:r>
        <w:rPr>
          <w:sz w:val="28"/>
          <w:szCs w:val="28"/>
          <w:lang w:val="uk-UA"/>
        </w:rPr>
        <w:t> </w:t>
      </w:r>
      <w:r w:rsidRPr="000C1463">
        <w:rPr>
          <w:sz w:val="28"/>
          <w:szCs w:val="28"/>
          <w:lang w:val="en-US"/>
        </w:rPr>
        <w:t xml:space="preserve">513–518. </w:t>
      </w:r>
    </w:p>
    <w:p w:rsidR="00EE70A7" w:rsidRPr="000C1463" w:rsidRDefault="00EE70A7" w:rsidP="00EE70A7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0C1463">
        <w:rPr>
          <w:sz w:val="28"/>
          <w:szCs w:val="28"/>
          <w:lang w:val="en-US"/>
        </w:rPr>
        <w:t>10. </w:t>
      </w:r>
      <w:proofErr w:type="spellStart"/>
      <w:r w:rsidRPr="000C1463">
        <w:rPr>
          <w:iCs/>
          <w:color w:val="000000"/>
          <w:sz w:val="28"/>
          <w:szCs w:val="28"/>
          <w:lang w:val="en-US"/>
        </w:rPr>
        <w:t>Nydegger</w:t>
      </w:r>
      <w:proofErr w:type="spellEnd"/>
      <w:r w:rsidRPr="000C1463">
        <w:rPr>
          <w:color w:val="000000"/>
          <w:sz w:val="28"/>
          <w:szCs w:val="28"/>
          <w:lang w:val="en-US"/>
        </w:rPr>
        <w:t xml:space="preserve"> U. Transfusion dependency in cardiac surgery update 2006</w:t>
      </w:r>
      <w:r>
        <w:rPr>
          <w:color w:val="000000"/>
          <w:sz w:val="28"/>
          <w:szCs w:val="28"/>
          <w:lang w:val="uk-UA"/>
        </w:rPr>
        <w:t> </w:t>
      </w:r>
      <w:r w:rsidRPr="000C1463">
        <w:rPr>
          <w:color w:val="000000"/>
          <w:sz w:val="28"/>
          <w:szCs w:val="28"/>
          <w:lang w:val="en-US"/>
        </w:rPr>
        <w:t xml:space="preserve">/ </w:t>
      </w:r>
      <w:r w:rsidRPr="000C1463">
        <w:rPr>
          <w:iCs/>
          <w:color w:val="000000"/>
          <w:sz w:val="28"/>
          <w:szCs w:val="28"/>
          <w:lang w:val="en-US"/>
        </w:rPr>
        <w:t>U.</w:t>
      </w:r>
      <w:r>
        <w:rPr>
          <w:iCs/>
          <w:color w:val="000000"/>
          <w:sz w:val="28"/>
          <w:szCs w:val="28"/>
          <w:lang w:val="uk-UA"/>
        </w:rPr>
        <w:t> </w:t>
      </w:r>
      <w:proofErr w:type="spellStart"/>
      <w:r w:rsidRPr="000C1463">
        <w:rPr>
          <w:iCs/>
          <w:color w:val="000000"/>
          <w:sz w:val="28"/>
          <w:szCs w:val="28"/>
          <w:lang w:val="en-US"/>
        </w:rPr>
        <w:t>Nydegger</w:t>
      </w:r>
      <w:proofErr w:type="spellEnd"/>
      <w:r>
        <w:rPr>
          <w:iCs/>
          <w:color w:val="000000"/>
          <w:sz w:val="28"/>
          <w:szCs w:val="28"/>
          <w:lang w:val="uk-UA"/>
        </w:rPr>
        <w:t> </w:t>
      </w:r>
      <w:r w:rsidRPr="000C1463">
        <w:rPr>
          <w:iCs/>
          <w:color w:val="000000"/>
          <w:sz w:val="28"/>
          <w:szCs w:val="28"/>
          <w:lang w:val="en-US"/>
        </w:rPr>
        <w:t xml:space="preserve">// </w:t>
      </w:r>
      <w:r w:rsidRPr="000C1463">
        <w:rPr>
          <w:color w:val="000000"/>
          <w:sz w:val="28"/>
          <w:szCs w:val="28"/>
          <w:lang w:val="en-US"/>
        </w:rPr>
        <w:t>Swiss Med. Wkly.</w:t>
      </w:r>
      <w:r>
        <w:rPr>
          <w:color w:val="000000"/>
          <w:sz w:val="28"/>
          <w:szCs w:val="28"/>
          <w:lang w:val="uk-UA"/>
        </w:rPr>
        <w:t> </w:t>
      </w:r>
      <w:r w:rsidRPr="000C1463">
        <w:rPr>
          <w:color w:val="000000"/>
          <w:sz w:val="28"/>
          <w:szCs w:val="28"/>
          <w:lang w:val="en-US"/>
        </w:rPr>
        <w:t>– 2006.</w:t>
      </w:r>
      <w:r>
        <w:rPr>
          <w:color w:val="000000"/>
          <w:sz w:val="28"/>
          <w:szCs w:val="28"/>
          <w:lang w:val="uk-UA"/>
        </w:rPr>
        <w:t> </w:t>
      </w:r>
      <w:r w:rsidRPr="000C1463">
        <w:rPr>
          <w:color w:val="000000"/>
          <w:sz w:val="28"/>
          <w:szCs w:val="28"/>
          <w:lang w:val="en-US"/>
        </w:rPr>
        <w:t>– Vol.</w:t>
      </w:r>
      <w:r>
        <w:rPr>
          <w:color w:val="000000"/>
          <w:sz w:val="28"/>
          <w:szCs w:val="28"/>
          <w:lang w:val="uk-UA"/>
        </w:rPr>
        <w:t> </w:t>
      </w:r>
      <w:r w:rsidRPr="000C1463">
        <w:rPr>
          <w:color w:val="000000"/>
          <w:sz w:val="28"/>
          <w:szCs w:val="28"/>
          <w:lang w:val="en-US"/>
        </w:rPr>
        <w:t>136.</w:t>
      </w:r>
      <w:r>
        <w:rPr>
          <w:color w:val="000000"/>
          <w:sz w:val="28"/>
          <w:szCs w:val="28"/>
          <w:lang w:val="uk-UA"/>
        </w:rPr>
        <w:t> </w:t>
      </w:r>
      <w:r w:rsidRPr="000C1463">
        <w:rPr>
          <w:color w:val="000000"/>
          <w:sz w:val="28"/>
          <w:szCs w:val="28"/>
          <w:lang w:val="en-US"/>
        </w:rPr>
        <w:t>– P.</w:t>
      </w:r>
      <w:r>
        <w:rPr>
          <w:color w:val="000000"/>
          <w:sz w:val="28"/>
          <w:szCs w:val="28"/>
          <w:lang w:val="uk-UA"/>
        </w:rPr>
        <w:t> </w:t>
      </w:r>
      <w:r w:rsidRPr="000C1463">
        <w:rPr>
          <w:color w:val="000000"/>
          <w:sz w:val="28"/>
          <w:szCs w:val="28"/>
          <w:lang w:val="en-US"/>
        </w:rPr>
        <w:t>781</w:t>
      </w:r>
      <w:r>
        <w:rPr>
          <w:color w:val="000000"/>
          <w:sz w:val="28"/>
          <w:szCs w:val="28"/>
          <w:lang w:val="uk-UA"/>
        </w:rPr>
        <w:t>–</w:t>
      </w:r>
      <w:r w:rsidRPr="000C1463">
        <w:rPr>
          <w:color w:val="000000"/>
          <w:sz w:val="28"/>
          <w:szCs w:val="28"/>
          <w:lang w:val="en-US"/>
        </w:rPr>
        <w:t xml:space="preserve">788. </w:t>
      </w:r>
    </w:p>
    <w:p w:rsidR="00EE70A7" w:rsidRPr="004A0975" w:rsidRDefault="00EE70A7" w:rsidP="00EE70A7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4A0975">
        <w:rPr>
          <w:color w:val="000000"/>
          <w:lang w:val="en-US"/>
        </w:rPr>
        <w:t>11. </w:t>
      </w:r>
      <w:proofErr w:type="spellStart"/>
      <w:r w:rsidRPr="004A0975">
        <w:rPr>
          <w:color w:val="000000"/>
          <w:sz w:val="28"/>
          <w:szCs w:val="28"/>
          <w:lang w:val="en-US"/>
        </w:rPr>
        <w:t>Spiess</w:t>
      </w:r>
      <w:proofErr w:type="spellEnd"/>
      <w:r w:rsidRPr="004A0975">
        <w:rPr>
          <w:color w:val="000000"/>
          <w:sz w:val="28"/>
          <w:szCs w:val="28"/>
          <w:lang w:val="en-US"/>
        </w:rPr>
        <w:t xml:space="preserve"> B.</w:t>
      </w:r>
      <w:r>
        <w:rPr>
          <w:color w:val="000000"/>
          <w:sz w:val="28"/>
          <w:szCs w:val="28"/>
          <w:lang w:val="uk-UA"/>
        </w:rPr>
        <w:t xml:space="preserve"> </w:t>
      </w:r>
      <w:r w:rsidRPr="004A0975">
        <w:rPr>
          <w:color w:val="000000"/>
          <w:sz w:val="28"/>
          <w:szCs w:val="28"/>
          <w:lang w:val="en-US"/>
        </w:rPr>
        <w:t>D. et al</w:t>
      </w:r>
      <w:r>
        <w:rPr>
          <w:color w:val="000000"/>
          <w:sz w:val="28"/>
          <w:szCs w:val="28"/>
          <w:lang w:val="uk-UA"/>
        </w:rPr>
        <w:t>.</w:t>
      </w:r>
      <w:r w:rsidRPr="004A0975">
        <w:rPr>
          <w:color w:val="000000"/>
          <w:sz w:val="28"/>
          <w:szCs w:val="28"/>
          <w:lang w:val="en-US"/>
        </w:rPr>
        <w:t xml:space="preserve"> Perioperative blood transfusion and blood conservation in cardiac surgery // Annals of </w:t>
      </w:r>
      <w:r>
        <w:rPr>
          <w:color w:val="000000"/>
          <w:sz w:val="28"/>
          <w:szCs w:val="28"/>
          <w:lang w:val="en-US"/>
        </w:rPr>
        <w:t>Thoracic Surgery. – 2007. –Vol.</w:t>
      </w:r>
      <w:r>
        <w:rPr>
          <w:color w:val="000000"/>
          <w:sz w:val="28"/>
          <w:szCs w:val="28"/>
          <w:lang w:val="uk-UA"/>
        </w:rPr>
        <w:t> </w:t>
      </w:r>
      <w:r w:rsidRPr="004A0975">
        <w:rPr>
          <w:color w:val="000000"/>
          <w:sz w:val="28"/>
          <w:szCs w:val="28"/>
          <w:lang w:val="en-US"/>
        </w:rPr>
        <w:t>83. –</w:t>
      </w:r>
      <w:r>
        <w:rPr>
          <w:color w:val="000000"/>
          <w:sz w:val="28"/>
          <w:szCs w:val="28"/>
          <w:lang w:val="uk-UA"/>
        </w:rPr>
        <w:t xml:space="preserve"> </w:t>
      </w:r>
      <w:r w:rsidRPr="004A0975">
        <w:rPr>
          <w:color w:val="000000"/>
          <w:sz w:val="28"/>
          <w:szCs w:val="28"/>
          <w:lang w:val="en-US"/>
        </w:rPr>
        <w:t>P.</w:t>
      </w:r>
      <w:r>
        <w:rPr>
          <w:color w:val="000000"/>
          <w:sz w:val="28"/>
          <w:szCs w:val="28"/>
          <w:lang w:val="uk-UA"/>
        </w:rPr>
        <w:t> </w:t>
      </w:r>
      <w:r w:rsidRPr="004A0975">
        <w:rPr>
          <w:color w:val="000000"/>
          <w:sz w:val="28"/>
          <w:szCs w:val="28"/>
          <w:lang w:val="en-US"/>
        </w:rPr>
        <w:t>27–86.</w:t>
      </w:r>
    </w:p>
    <w:p w:rsidR="00DD4EE4" w:rsidRPr="00DD4EE4" w:rsidRDefault="00DD4EE4" w:rsidP="00014A98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D4EE4" w:rsidRPr="00DD4EE4" w:rsidSect="00E0445F">
      <w:pgSz w:w="11906" w:h="16838"/>
      <w:pgMar w:top="851" w:right="851" w:bottom="1134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28" w:rsidRDefault="00173228" w:rsidP="00014A98">
      <w:r>
        <w:separator/>
      </w:r>
    </w:p>
  </w:endnote>
  <w:endnote w:type="continuationSeparator" w:id="0">
    <w:p w:rsidR="00173228" w:rsidRDefault="00173228" w:rsidP="0001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28" w:rsidRDefault="00173228" w:rsidP="00014A98">
      <w:r>
        <w:separator/>
      </w:r>
    </w:p>
  </w:footnote>
  <w:footnote w:type="continuationSeparator" w:id="0">
    <w:p w:rsidR="00173228" w:rsidRDefault="00173228" w:rsidP="00014A98">
      <w:r>
        <w:continuationSeparator/>
      </w:r>
    </w:p>
  </w:footnote>
  <w:footnote w:id="1">
    <w:p w:rsidR="00DD4EE4" w:rsidRDefault="00DD4EE4" w:rsidP="00DD4EE4">
      <w:pPr>
        <w:pStyle w:val="af0"/>
        <w:jc w:val="both"/>
      </w:pPr>
    </w:p>
  </w:footnote>
  <w:footnote w:id="2">
    <w:p w:rsidR="00DD4EE4" w:rsidRDefault="00DD4EE4" w:rsidP="00DD4EE4">
      <w:pPr>
        <w:pStyle w:val="af0"/>
      </w:pPr>
      <w:r>
        <w:t>.</w:t>
      </w:r>
    </w:p>
  </w:footnote>
  <w:footnote w:id="3">
    <w:p w:rsidR="00DD4EE4" w:rsidRDefault="00DD4EE4" w:rsidP="00DD4EE4">
      <w:pPr>
        <w:pStyle w:val="af0"/>
        <w:jc w:val="both"/>
      </w:pPr>
      <w:r>
        <w:rPr>
          <w:rStyle w:val="af2"/>
        </w:rPr>
        <w:footnoteRef/>
      </w:r>
      <w:r>
        <w:t>.</w:t>
      </w:r>
    </w:p>
  </w:footnote>
  <w:footnote w:id="4">
    <w:p w:rsidR="00DD4EE4" w:rsidRDefault="00DD4EE4" w:rsidP="00DD4EE4">
      <w:pPr>
        <w:pStyle w:val="af0"/>
        <w:jc w:val="both"/>
      </w:pPr>
    </w:p>
  </w:footnote>
  <w:footnote w:id="5">
    <w:p w:rsidR="00DD4EE4" w:rsidRDefault="00DD4EE4" w:rsidP="00DD4EE4">
      <w:pPr>
        <w:pStyle w:val="af0"/>
        <w:jc w:val="both"/>
      </w:pPr>
      <w:r>
        <w:rPr>
          <w:rStyle w:val="af2"/>
        </w:rPr>
        <w:footnoteRef/>
      </w:r>
      <w:r>
        <w:t xml:space="preserve"> . </w:t>
      </w:r>
    </w:p>
  </w:footnote>
  <w:footnote w:id="6">
    <w:p w:rsidR="00DD4EE4" w:rsidRDefault="00DD4EE4" w:rsidP="00DD4EE4">
      <w:pPr>
        <w:pStyle w:val="af0"/>
        <w:jc w:val="both"/>
      </w:pPr>
      <w:r>
        <w:rPr>
          <w:rStyle w:val="af2"/>
        </w:rPr>
        <w:footnoteRef/>
      </w:r>
      <w:r>
        <w:t xml:space="preserve"> . </w:t>
      </w:r>
    </w:p>
  </w:footnote>
  <w:footnote w:id="7">
    <w:p w:rsidR="00DD4EE4" w:rsidRDefault="00DD4EE4" w:rsidP="00DD4EE4">
      <w:pPr>
        <w:pStyle w:val="af0"/>
      </w:pPr>
      <w:r>
        <w:rPr>
          <w:rStyle w:val="af2"/>
        </w:rPr>
        <w:footnoteRef/>
      </w:r>
      <w:r>
        <w:t xml:space="preserve"> .</w:t>
      </w:r>
    </w:p>
  </w:footnote>
  <w:footnote w:id="8">
    <w:p w:rsidR="00DD4EE4" w:rsidRDefault="00DD4EE4" w:rsidP="00DD4EE4">
      <w:pPr>
        <w:pStyle w:val="af0"/>
      </w:pPr>
      <w:r>
        <w:t>.</w:t>
      </w:r>
    </w:p>
  </w:footnote>
  <w:footnote w:id="9">
    <w:p w:rsidR="00DD4EE4" w:rsidRDefault="00DD4EE4" w:rsidP="00DD4EE4">
      <w:pPr>
        <w:pStyle w:val="af0"/>
        <w:jc w:val="both"/>
      </w:pPr>
      <w:r>
        <w:t>.</w:t>
      </w:r>
      <w:r w:rsidRPr="0046210B">
        <w:t xml:space="preserve"> </w:t>
      </w:r>
    </w:p>
  </w:footnote>
  <w:footnote w:id="10">
    <w:p w:rsidR="00DD4EE4" w:rsidRDefault="00DD4EE4" w:rsidP="00DD4EE4">
      <w:pPr>
        <w:pStyle w:val="af0"/>
      </w:pPr>
      <w:r>
        <w:t xml:space="preserve"> </w:t>
      </w:r>
    </w:p>
  </w:footnote>
  <w:footnote w:id="11">
    <w:p w:rsidR="00DD4EE4" w:rsidRDefault="00DD4EE4" w:rsidP="00DD4EE4">
      <w:pPr>
        <w:pStyle w:val="af0"/>
        <w:jc w:val="both"/>
      </w:pPr>
    </w:p>
  </w:footnote>
  <w:footnote w:id="12">
    <w:p w:rsidR="00DD4EE4" w:rsidRDefault="00DD4EE4" w:rsidP="00DD4EE4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7197"/>
    <w:multiLevelType w:val="hybridMultilevel"/>
    <w:tmpl w:val="71D6C078"/>
    <w:lvl w:ilvl="0" w:tplc="8D602388">
      <w:start w:val="5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A7A39"/>
    <w:multiLevelType w:val="hybridMultilevel"/>
    <w:tmpl w:val="E5242B50"/>
    <w:lvl w:ilvl="0" w:tplc="061223E0">
      <w:start w:val="10"/>
      <w:numFmt w:val="decimal"/>
      <w:lvlText w:val="%1."/>
      <w:lvlJc w:val="left"/>
      <w:pPr>
        <w:ind w:left="735" w:hanging="375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A7062"/>
    <w:multiLevelType w:val="hybridMultilevel"/>
    <w:tmpl w:val="6962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405E3"/>
    <w:multiLevelType w:val="hybridMultilevel"/>
    <w:tmpl w:val="99A604E4"/>
    <w:lvl w:ilvl="0" w:tplc="14E4C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98"/>
    <w:rsid w:val="00014A98"/>
    <w:rsid w:val="000334BD"/>
    <w:rsid w:val="000F5D5C"/>
    <w:rsid w:val="00173228"/>
    <w:rsid w:val="003B0D23"/>
    <w:rsid w:val="00413A42"/>
    <w:rsid w:val="00823EE7"/>
    <w:rsid w:val="00DD4EE4"/>
    <w:rsid w:val="00E96FB5"/>
    <w:rsid w:val="00E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9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14A98"/>
    <w:rPr>
      <w:rFonts w:ascii="Courier New" w:hAnsi="Courier New" w:cs="Courier New"/>
      <w:sz w:val="20"/>
      <w:szCs w:val="20"/>
      <w:lang w:val="uk-UA"/>
    </w:rPr>
  </w:style>
  <w:style w:type="character" w:customStyle="1" w:styleId="a4">
    <w:name w:val="Текст Знак"/>
    <w:basedOn w:val="a0"/>
    <w:link w:val="a3"/>
    <w:uiPriority w:val="99"/>
    <w:rsid w:val="00014A98"/>
    <w:rPr>
      <w:rFonts w:ascii="Courier New" w:eastAsia="Times New Roman" w:hAnsi="Courier New" w:cs="Courier New"/>
      <w:sz w:val="20"/>
      <w:szCs w:val="20"/>
      <w:lang w:val="uk-UA" w:eastAsia="ru-RU"/>
    </w:rPr>
  </w:style>
  <w:style w:type="table" w:styleId="a5">
    <w:name w:val="Table Grid"/>
    <w:basedOn w:val="a1"/>
    <w:uiPriority w:val="99"/>
    <w:rsid w:val="00014A98"/>
    <w:pPr>
      <w:spacing w:after="0" w:line="240" w:lineRule="auto"/>
    </w:pPr>
    <w:rPr>
      <w:rFonts w:eastAsia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14A98"/>
    <w:pPr>
      <w:ind w:left="720"/>
      <w:contextualSpacing/>
    </w:pPr>
  </w:style>
  <w:style w:type="paragraph" w:customStyle="1" w:styleId="1">
    <w:name w:val="Без интервала1"/>
    <w:uiPriority w:val="99"/>
    <w:rsid w:val="00014A9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014A98"/>
    <w:pPr>
      <w:autoSpaceDE w:val="0"/>
      <w:autoSpaceDN w:val="0"/>
      <w:spacing w:line="480" w:lineRule="auto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uiPriority w:val="99"/>
    <w:rsid w:val="00014A98"/>
    <w:rPr>
      <w:rFonts w:ascii="Arial" w:eastAsia="Times New Roman" w:hAnsi="Arial" w:cs="Arial"/>
      <w:lang w:eastAsia="ru-RU"/>
    </w:rPr>
  </w:style>
  <w:style w:type="paragraph" w:styleId="a9">
    <w:name w:val="Title"/>
    <w:basedOn w:val="a"/>
    <w:link w:val="aa"/>
    <w:uiPriority w:val="99"/>
    <w:qFormat/>
    <w:rsid w:val="00014A9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014A98"/>
    <w:rPr>
      <w:rFonts w:eastAsia="Times New Roman"/>
      <w:b/>
      <w:sz w:val="28"/>
      <w:szCs w:val="20"/>
      <w:lang w:eastAsia="ru-RU"/>
    </w:rPr>
  </w:style>
  <w:style w:type="paragraph" w:styleId="ab">
    <w:name w:val="No Spacing"/>
    <w:uiPriority w:val="99"/>
    <w:qFormat/>
    <w:rsid w:val="00014A9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c">
    <w:name w:val="Strong"/>
    <w:uiPriority w:val="99"/>
    <w:qFormat/>
    <w:rsid w:val="00014A98"/>
    <w:rPr>
      <w:b/>
      <w:bCs/>
    </w:rPr>
  </w:style>
  <w:style w:type="paragraph" w:styleId="ad">
    <w:name w:val="header"/>
    <w:basedOn w:val="a"/>
    <w:link w:val="ae"/>
    <w:uiPriority w:val="99"/>
    <w:rsid w:val="00014A98"/>
    <w:pPr>
      <w:tabs>
        <w:tab w:val="center" w:pos="4320"/>
        <w:tab w:val="right" w:pos="864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14A98"/>
    <w:rPr>
      <w:rFonts w:eastAsia="Times New Roman"/>
      <w:lang w:eastAsia="ru-RU"/>
    </w:rPr>
  </w:style>
  <w:style w:type="character" w:styleId="af">
    <w:name w:val="page number"/>
    <w:basedOn w:val="a0"/>
    <w:uiPriority w:val="99"/>
    <w:rsid w:val="00014A98"/>
    <w:rPr>
      <w:rFonts w:cs="Times New Roman"/>
    </w:rPr>
  </w:style>
  <w:style w:type="paragraph" w:styleId="af0">
    <w:name w:val="footnote text"/>
    <w:basedOn w:val="a"/>
    <w:link w:val="af1"/>
    <w:uiPriority w:val="99"/>
    <w:semiHidden/>
    <w:rsid w:val="00014A9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14A98"/>
    <w:rPr>
      <w:rFonts w:eastAsia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014A98"/>
    <w:rPr>
      <w:rFonts w:cs="Times New Roman"/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014A9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4A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9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14A98"/>
    <w:rPr>
      <w:rFonts w:ascii="Courier New" w:hAnsi="Courier New" w:cs="Courier New"/>
      <w:sz w:val="20"/>
      <w:szCs w:val="20"/>
      <w:lang w:val="uk-UA"/>
    </w:rPr>
  </w:style>
  <w:style w:type="character" w:customStyle="1" w:styleId="a4">
    <w:name w:val="Текст Знак"/>
    <w:basedOn w:val="a0"/>
    <w:link w:val="a3"/>
    <w:uiPriority w:val="99"/>
    <w:rsid w:val="00014A98"/>
    <w:rPr>
      <w:rFonts w:ascii="Courier New" w:eastAsia="Times New Roman" w:hAnsi="Courier New" w:cs="Courier New"/>
      <w:sz w:val="20"/>
      <w:szCs w:val="20"/>
      <w:lang w:val="uk-UA" w:eastAsia="ru-RU"/>
    </w:rPr>
  </w:style>
  <w:style w:type="table" w:styleId="a5">
    <w:name w:val="Table Grid"/>
    <w:basedOn w:val="a1"/>
    <w:uiPriority w:val="99"/>
    <w:rsid w:val="00014A98"/>
    <w:pPr>
      <w:spacing w:after="0" w:line="240" w:lineRule="auto"/>
    </w:pPr>
    <w:rPr>
      <w:rFonts w:eastAsia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14A98"/>
    <w:pPr>
      <w:ind w:left="720"/>
      <w:contextualSpacing/>
    </w:pPr>
  </w:style>
  <w:style w:type="paragraph" w:customStyle="1" w:styleId="1">
    <w:name w:val="Без интервала1"/>
    <w:uiPriority w:val="99"/>
    <w:rsid w:val="00014A9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014A98"/>
    <w:pPr>
      <w:autoSpaceDE w:val="0"/>
      <w:autoSpaceDN w:val="0"/>
      <w:spacing w:line="480" w:lineRule="auto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uiPriority w:val="99"/>
    <w:rsid w:val="00014A98"/>
    <w:rPr>
      <w:rFonts w:ascii="Arial" w:eastAsia="Times New Roman" w:hAnsi="Arial" w:cs="Arial"/>
      <w:lang w:eastAsia="ru-RU"/>
    </w:rPr>
  </w:style>
  <w:style w:type="paragraph" w:styleId="a9">
    <w:name w:val="Title"/>
    <w:basedOn w:val="a"/>
    <w:link w:val="aa"/>
    <w:uiPriority w:val="99"/>
    <w:qFormat/>
    <w:rsid w:val="00014A9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014A98"/>
    <w:rPr>
      <w:rFonts w:eastAsia="Times New Roman"/>
      <w:b/>
      <w:sz w:val="28"/>
      <w:szCs w:val="20"/>
      <w:lang w:eastAsia="ru-RU"/>
    </w:rPr>
  </w:style>
  <w:style w:type="paragraph" w:styleId="ab">
    <w:name w:val="No Spacing"/>
    <w:uiPriority w:val="99"/>
    <w:qFormat/>
    <w:rsid w:val="00014A9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c">
    <w:name w:val="Strong"/>
    <w:uiPriority w:val="99"/>
    <w:qFormat/>
    <w:rsid w:val="00014A98"/>
    <w:rPr>
      <w:b/>
      <w:bCs/>
    </w:rPr>
  </w:style>
  <w:style w:type="paragraph" w:styleId="ad">
    <w:name w:val="header"/>
    <w:basedOn w:val="a"/>
    <w:link w:val="ae"/>
    <w:uiPriority w:val="99"/>
    <w:rsid w:val="00014A98"/>
    <w:pPr>
      <w:tabs>
        <w:tab w:val="center" w:pos="4320"/>
        <w:tab w:val="right" w:pos="864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14A98"/>
    <w:rPr>
      <w:rFonts w:eastAsia="Times New Roman"/>
      <w:lang w:eastAsia="ru-RU"/>
    </w:rPr>
  </w:style>
  <w:style w:type="character" w:styleId="af">
    <w:name w:val="page number"/>
    <w:basedOn w:val="a0"/>
    <w:uiPriority w:val="99"/>
    <w:rsid w:val="00014A98"/>
    <w:rPr>
      <w:rFonts w:cs="Times New Roman"/>
    </w:rPr>
  </w:style>
  <w:style w:type="paragraph" w:styleId="af0">
    <w:name w:val="footnote text"/>
    <w:basedOn w:val="a"/>
    <w:link w:val="af1"/>
    <w:uiPriority w:val="99"/>
    <w:semiHidden/>
    <w:rsid w:val="00014A9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14A98"/>
    <w:rPr>
      <w:rFonts w:eastAsia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014A98"/>
    <w:rPr>
      <w:rFonts w:cs="Times New Roman"/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014A9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4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localhost</Company>
  <LinksUpToDate>false</LinksUpToDate>
  <CharactersWithSpaces>24728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user838383892</dc:creator>
  <cp:lastModifiedBy>user838383892</cp:lastModifiedBy>
  <cp:revision>3</cp:revision>
  <dcterms:created xsi:type="dcterms:W3CDTF">2016-10-04T05:35:00Z</dcterms:created>
  <dcterms:modified xsi:type="dcterms:W3CDTF">2016-12-19T06:54:00Z</dcterms:modified>
</cp:coreProperties>
</file>