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9" w:rsidRDefault="00625469" w:rsidP="00625469">
      <w:pPr>
        <w:spacing w:after="0" w:line="360" w:lineRule="auto"/>
        <w:jc w:val="right"/>
        <w:rPr>
          <w:rStyle w:val="notranslat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translat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UDC</w:t>
      </w:r>
      <w:r w:rsidRPr="0049090A">
        <w:rPr>
          <w:rStyle w:val="notranslat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616.12 – 053.1 – 08.059 – 089.819.1</w:t>
      </w:r>
    </w:p>
    <w:p w:rsidR="00625469" w:rsidRDefault="00625469" w:rsidP="00B878AD">
      <w:pPr>
        <w:spacing w:after="0" w:line="360" w:lineRule="auto"/>
        <w:jc w:val="center"/>
        <w:rPr>
          <w:rStyle w:val="notranslat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947" w:rsidRPr="005E4ADD" w:rsidRDefault="00303947" w:rsidP="00B87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Endovascular </w:t>
      </w:r>
      <w:r w:rsidR="00936A76" w:rsidRPr="005E4ADD">
        <w:rPr>
          <w:rFonts w:ascii="Times New Roman" w:hAnsi="Times New Roman" w:cs="Times New Roman"/>
          <w:b/>
          <w:sz w:val="28"/>
          <w:szCs w:val="28"/>
          <w:lang w:val="en-US"/>
        </w:rPr>
        <w:t>conduit fenestration closure</w:t>
      </w:r>
      <w:r w:rsidRPr="005E4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af</w:t>
      </w:r>
      <w:r w:rsidR="00936A76" w:rsidRPr="005E4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ter </w:t>
      </w:r>
      <w:proofErr w:type="spellStart"/>
      <w:r w:rsidR="00936A76" w:rsidRPr="005E4ADD">
        <w:rPr>
          <w:rFonts w:ascii="Times New Roman" w:hAnsi="Times New Roman" w:cs="Times New Roman"/>
          <w:b/>
          <w:sz w:val="28"/>
          <w:szCs w:val="28"/>
          <w:lang w:val="en-US"/>
        </w:rPr>
        <w:t>extracardiac</w:t>
      </w:r>
      <w:proofErr w:type="spellEnd"/>
      <w:r w:rsidR="00936A76" w:rsidRPr="005E4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total c</w:t>
      </w:r>
      <w:r w:rsidRPr="005E4ADD">
        <w:rPr>
          <w:rFonts w:ascii="Times New Roman" w:hAnsi="Times New Roman" w:cs="Times New Roman"/>
          <w:b/>
          <w:sz w:val="28"/>
          <w:szCs w:val="28"/>
          <w:lang w:val="en-US"/>
        </w:rPr>
        <w:t>ava-pulmonary anastomosis</w:t>
      </w:r>
      <w:r w:rsidR="00936A76" w:rsidRPr="005E4A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operation</w:t>
      </w:r>
    </w:p>
    <w:p w:rsidR="00B878AD" w:rsidRPr="005E4ADD" w:rsidRDefault="00303947" w:rsidP="00B878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4ADD">
        <w:rPr>
          <w:rFonts w:ascii="Times New Roman" w:hAnsi="Times New Roman" w:cs="Times New Roman"/>
          <w:sz w:val="28"/>
          <w:szCs w:val="28"/>
          <w:lang w:val="en-US"/>
        </w:rPr>
        <w:t>KuzmenkoY</w:t>
      </w:r>
      <w:r w:rsidR="00B878AD" w:rsidRPr="005E4AD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36A76" w:rsidRPr="005E4ADD">
        <w:rPr>
          <w:rFonts w:ascii="Times New Roman" w:hAnsi="Times New Roman" w:cs="Times New Roman"/>
          <w:sz w:val="28"/>
          <w:szCs w:val="28"/>
          <w:lang w:val="en-US"/>
        </w:rPr>
        <w:t>.L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E4ADD">
        <w:rPr>
          <w:rFonts w:ascii="Times New Roman" w:hAnsi="Times New Roman" w:cs="Times New Roman"/>
          <w:sz w:val="28"/>
          <w:szCs w:val="28"/>
          <w:lang w:val="en-US"/>
        </w:rPr>
        <w:t>Maksimenko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="00936A76" w:rsidRPr="005E4ADD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E4ADD">
        <w:rPr>
          <w:rFonts w:ascii="Times New Roman" w:hAnsi="Times New Roman" w:cs="Times New Roman"/>
          <w:sz w:val="28"/>
          <w:szCs w:val="28"/>
          <w:lang w:val="en-US"/>
        </w:rPr>
        <w:t>Dovgaluk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="00936A76" w:rsidRPr="005E4ADD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E4ADD">
        <w:rPr>
          <w:rFonts w:ascii="Times New Roman" w:hAnsi="Times New Roman" w:cs="Times New Roman"/>
          <w:sz w:val="28"/>
          <w:szCs w:val="28"/>
          <w:lang w:val="en-US"/>
        </w:rPr>
        <w:t>Radchenko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="00936A76" w:rsidRPr="005E4ADD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03947" w:rsidRPr="005E4ADD" w:rsidRDefault="00303947" w:rsidP="00B878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4ADD">
        <w:rPr>
          <w:rFonts w:ascii="Times New Roman" w:hAnsi="Times New Roman" w:cs="Times New Roman"/>
          <w:sz w:val="28"/>
          <w:szCs w:val="28"/>
          <w:lang w:val="en-US"/>
        </w:rPr>
        <w:t>Motrechko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C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1C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36A76"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78AD" w:rsidRPr="005E4ADD" w:rsidRDefault="00B878AD" w:rsidP="00B878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78AD" w:rsidRPr="0095037E" w:rsidRDefault="00B878AD" w:rsidP="00B878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Ukrainian </w:t>
      </w:r>
      <w:proofErr w:type="spellStart"/>
      <w:r w:rsidRPr="005E4ADD">
        <w:rPr>
          <w:rFonts w:ascii="Times New Roman" w:hAnsi="Times New Roman" w:cs="Times New Roman"/>
          <w:sz w:val="28"/>
          <w:szCs w:val="28"/>
          <w:lang w:val="en-US"/>
        </w:rPr>
        <w:t>Childrens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>' Cardiac Center</w:t>
      </w:r>
      <w:r w:rsidR="0095037E" w:rsidRPr="009503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037E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95037E" w:rsidRPr="0095037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8AD" w:rsidRPr="005E4ADD" w:rsidRDefault="00B878AD" w:rsidP="00B878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3947" w:rsidRPr="005E4ADD" w:rsidRDefault="00426880" w:rsidP="00501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This article </w:t>
      </w:r>
      <w:r w:rsidR="005E4AD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5E4ADD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presents </w:t>
      </w:r>
      <w:r w:rsidR="005E4AD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5E4ADD" w:rsidRPr="005E4ADD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5E4ADD">
        <w:rPr>
          <w:rFonts w:ascii="Times New Roman" w:hAnsi="Times New Roman" w:cs="Times New Roman"/>
          <w:sz w:val="28"/>
          <w:szCs w:val="28"/>
          <w:lang w:val="en-US"/>
        </w:rPr>
        <w:t>ofpercutaneous</w:t>
      </w:r>
      <w:proofErr w:type="spellEnd"/>
      <w:r w:rsidR="005E4ADD">
        <w:rPr>
          <w:rFonts w:ascii="Times New Roman" w:hAnsi="Times New Roman" w:cs="Times New Roman"/>
          <w:sz w:val="28"/>
          <w:szCs w:val="28"/>
          <w:lang w:val="en-US"/>
        </w:rPr>
        <w:t xml:space="preserve"> closure </w:t>
      </w:r>
      <w:proofErr w:type="spellStart"/>
      <w:r w:rsidR="005E4A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extracardiac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conduit </w:t>
      </w:r>
      <w:proofErr w:type="spellStart"/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fenestration</w:t>
      </w:r>
      <w:r w:rsidR="005E4AD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="005E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ADD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6 patients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after Fontan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operation </w:t>
      </w:r>
      <w:r w:rsidR="005E4AD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detailed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analysis of hemodynamic changes after the procedure.</w:t>
      </w:r>
    </w:p>
    <w:p w:rsidR="00303947" w:rsidRPr="005E4ADD" w:rsidRDefault="00303947" w:rsidP="00501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9503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Fontan</w:t>
      </w:r>
      <w:r w:rsidR="00743870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operation</w:t>
      </w:r>
      <w:proofErr w:type="gramStart"/>
      <w:r w:rsidR="00743870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fenestration</w:t>
      </w:r>
      <w:proofErr w:type="gramEnd"/>
      <w:r w:rsidRPr="005E4A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3870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early </w:t>
      </w:r>
      <w:proofErr w:type="spellStart"/>
      <w:r w:rsidR="00743870" w:rsidRPr="005E4ADD">
        <w:rPr>
          <w:rFonts w:ascii="Times New Roman" w:hAnsi="Times New Roman" w:cs="Times New Roman"/>
          <w:sz w:val="28"/>
          <w:szCs w:val="28"/>
          <w:lang w:val="en-US"/>
        </w:rPr>
        <w:t>postoperational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period, endovascular surgery.</w:t>
      </w:r>
    </w:p>
    <w:p w:rsidR="00B878AD" w:rsidRPr="005E4ADD" w:rsidRDefault="00B878AD" w:rsidP="00B878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03947" w:rsidRPr="005E4ADD" w:rsidRDefault="00303947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Fontan operation is the fina</w:t>
      </w:r>
      <w:r w:rsidR="00540114" w:rsidRPr="005E4ADD">
        <w:rPr>
          <w:rFonts w:ascii="Times New Roman" w:hAnsi="Times New Roman" w:cs="Times New Roman"/>
          <w:sz w:val="28"/>
          <w:szCs w:val="28"/>
          <w:lang w:val="en-US"/>
        </w:rPr>
        <w:t>l stage of surgical treatment in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patien</w:t>
      </w:r>
      <w:r w:rsidR="00540114" w:rsidRPr="005E4ADD">
        <w:rPr>
          <w:rFonts w:ascii="Times New Roman" w:hAnsi="Times New Roman" w:cs="Times New Roman"/>
          <w:sz w:val="28"/>
          <w:szCs w:val="28"/>
          <w:lang w:val="en-US"/>
        </w:rPr>
        <w:t>ts with single ventricle heart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. Hemodynamic changes after surgery m</w:t>
      </w:r>
      <w:r w:rsidR="00A601B2" w:rsidRPr="005E4ADD">
        <w:rPr>
          <w:rFonts w:ascii="Times New Roman" w:hAnsi="Times New Roman" w:cs="Times New Roman"/>
          <w:sz w:val="28"/>
          <w:szCs w:val="28"/>
          <w:lang w:val="en-US"/>
        </w:rPr>
        <w:t>ay have a negative impact on the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immediate result in the case of high blood pressure in the pulmonary</w:t>
      </w:r>
      <w:r w:rsidR="00C1352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artery. There are different causes for pulmonary artery hypertension: </w:t>
      </w:r>
      <w:proofErr w:type="spellStart"/>
      <w:r w:rsidR="00C13524" w:rsidRPr="005E4ADD">
        <w:rPr>
          <w:rFonts w:ascii="Times New Roman" w:hAnsi="Times New Roman" w:cs="Times New Roman"/>
          <w:sz w:val="28"/>
          <w:szCs w:val="28"/>
          <w:lang w:val="en-US"/>
        </w:rPr>
        <w:t>oedema</w:t>
      </w:r>
      <w:proofErr w:type="spellEnd"/>
      <w:r w:rsidR="00C1352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, spasm or </w:t>
      </w:r>
      <w:r w:rsidR="00F67B12">
        <w:rPr>
          <w:rFonts w:ascii="Times New Roman" w:hAnsi="Times New Roman" w:cs="Times New Roman"/>
          <w:sz w:val="28"/>
          <w:szCs w:val="28"/>
          <w:lang w:val="en-US"/>
        </w:rPr>
        <w:t>increased vascular resistance</w:t>
      </w:r>
      <w:r w:rsidR="00C1352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pulmonary capil</w:t>
      </w:r>
      <w:r w:rsidR="00C13524" w:rsidRPr="005E4ADD">
        <w:rPr>
          <w:rFonts w:ascii="Times New Roman" w:hAnsi="Times New Roman" w:cs="Times New Roman"/>
          <w:sz w:val="28"/>
          <w:szCs w:val="28"/>
          <w:lang w:val="en-US"/>
        </w:rPr>
        <w:t>lary bed, which leadsto complications in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early postoperative pe</w:t>
      </w:r>
      <w:r w:rsidR="00733344" w:rsidRPr="005E4ADD">
        <w:rPr>
          <w:rFonts w:ascii="Times New Roman" w:hAnsi="Times New Roman" w:cs="Times New Roman"/>
          <w:sz w:val="28"/>
          <w:szCs w:val="28"/>
          <w:lang w:val="en-US"/>
        </w:rPr>
        <w:t>riod. That is why creation of temporary communication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between the two circles of blood circulation during the Fontan operation in </w:t>
      </w:r>
      <w:r w:rsidR="0073334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high risk patients considered </w:t>
      </w:r>
      <w:r w:rsidR="00F67B12" w:rsidRPr="005E4ADD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="0073334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 standard practice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in many cardiac centers</w:t>
      </w:r>
      <w:r w:rsidR="00F67B12">
        <w:rPr>
          <w:rFonts w:ascii="Times New Roman" w:hAnsi="Times New Roman" w:cs="Times New Roman"/>
          <w:sz w:val="28"/>
          <w:szCs w:val="28"/>
          <w:lang w:val="en-US"/>
        </w:rPr>
        <w:t xml:space="preserve">.  Created </w:t>
      </w:r>
      <w:r w:rsidR="000E44F3">
        <w:rPr>
          <w:rFonts w:ascii="Times New Roman" w:hAnsi="Times New Roman" w:cs="Times New Roman"/>
          <w:sz w:val="28"/>
          <w:szCs w:val="28"/>
          <w:lang w:val="en-US"/>
        </w:rPr>
        <w:t>fenestration reduces morbidity in early postoperative period but leads to decreasedlevel</w:t>
      </w:r>
      <w:r w:rsidR="00777FDC" w:rsidRPr="005E4ADD">
        <w:rPr>
          <w:rFonts w:ascii="Times New Roman" w:hAnsi="Times New Roman" w:cs="Times New Roman"/>
          <w:sz w:val="28"/>
          <w:szCs w:val="28"/>
          <w:lang w:val="en-US"/>
        </w:rPr>
        <w:t>of arterial blood oxygen saturation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. The fi</w:t>
      </w:r>
      <w:r w:rsidR="00186D5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rst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Fontan</w:t>
      </w:r>
      <w:r w:rsidR="00186D5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operation with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fenestration was </w:t>
      </w:r>
      <w:r w:rsidR="00ED74A5" w:rsidRPr="005E4ADD">
        <w:rPr>
          <w:rFonts w:ascii="Times New Roman" w:hAnsi="Times New Roman" w:cs="Times New Roman"/>
          <w:sz w:val="28"/>
          <w:szCs w:val="28"/>
          <w:lang w:val="en-US"/>
        </w:rPr>
        <w:t>described in 1990. T</w:t>
      </w:r>
      <w:r w:rsidR="00AD3176" w:rsidRPr="005E4ADD">
        <w:rPr>
          <w:rFonts w:ascii="Times New Roman" w:hAnsi="Times New Roman" w:cs="Times New Roman"/>
          <w:sz w:val="28"/>
          <w:szCs w:val="28"/>
          <w:lang w:val="en-US"/>
        </w:rPr>
        <w:t>he main purpose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of fenestration is to</w:t>
      </w:r>
      <w:r w:rsidR="000E44F3">
        <w:rPr>
          <w:rFonts w:ascii="Times New Roman" w:hAnsi="Times New Roman" w:cs="Times New Roman"/>
          <w:sz w:val="28"/>
          <w:szCs w:val="28"/>
          <w:lang w:val="en-US"/>
        </w:rPr>
        <w:t xml:space="preserve"> create</w:t>
      </w:r>
      <w:r w:rsidR="000E44F3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right to left shunting of blood at the atrial level </w:t>
      </w:r>
      <w:r w:rsidR="000E44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E44F3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increas</w:t>
      </w:r>
      <w:r w:rsidR="000E44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E44F3" w:rsidRPr="005E4ADD">
        <w:rPr>
          <w:rFonts w:ascii="Times New Roman" w:hAnsi="Times New Roman" w:cs="Times New Roman"/>
          <w:sz w:val="28"/>
          <w:szCs w:val="28"/>
          <w:lang w:val="en-US"/>
        </w:rPr>
        <w:t>preload of the systemic ventricle</w:t>
      </w:r>
      <w:r w:rsidR="000E44F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ED74A5" w:rsidRPr="005E4ADD">
        <w:rPr>
          <w:rFonts w:ascii="Times New Roman" w:hAnsi="Times New Roman" w:cs="Times New Roman"/>
          <w:sz w:val="28"/>
          <w:szCs w:val="28"/>
          <w:lang w:val="en-US"/>
        </w:rPr>
        <w:t>cardiac output</w:t>
      </w:r>
      <w:r w:rsidR="00FA0DAA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44F3" w:rsidRPr="005E4ADD">
        <w:rPr>
          <w:rFonts w:ascii="Times New Roman" w:hAnsi="Times New Roman" w:cs="Times New Roman"/>
          <w:sz w:val="28"/>
          <w:szCs w:val="28"/>
          <w:lang w:val="en-US"/>
        </w:rPr>
        <w:t>Furthermore the</w:t>
      </w:r>
      <w:r w:rsidR="00FA0DAA" w:rsidRPr="005E4ADD">
        <w:rPr>
          <w:rFonts w:ascii="Times New Roman" w:hAnsi="Times New Roman" w:cs="Times New Roman"/>
          <w:sz w:val="28"/>
          <w:szCs w:val="28"/>
          <w:lang w:val="en-US"/>
        </w:rPr>
        <w:t>presence of communication between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conduit</w:t>
      </w:r>
      <w:r w:rsidR="00FA0DAA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and atrium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provides a regulato</w:t>
      </w:r>
      <w:r w:rsidR="00FA0DAA" w:rsidRPr="005E4ADD">
        <w:rPr>
          <w:rFonts w:ascii="Times New Roman" w:hAnsi="Times New Roman" w:cs="Times New Roman"/>
          <w:sz w:val="28"/>
          <w:szCs w:val="28"/>
          <w:lang w:val="en-US"/>
        </w:rPr>
        <w:t>ry function during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central venous pressure</w:t>
      </w:r>
      <w:r w:rsidR="00FA0DAA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rising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, which occurs </w:t>
      </w:r>
      <w:r w:rsidR="00FA0DAA" w:rsidRPr="005E4ADD">
        <w:rPr>
          <w:rFonts w:ascii="Times New Roman" w:hAnsi="Times New Roman" w:cs="Times New Roman"/>
          <w:sz w:val="28"/>
          <w:szCs w:val="28"/>
          <w:lang w:val="en-US"/>
        </w:rPr>
        <w:t>quite frequently in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early postoperative period.</w:t>
      </w:r>
    </w:p>
    <w:p w:rsidR="00303947" w:rsidRPr="005E4ADD" w:rsidRDefault="008E6245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Numerous studies </w:t>
      </w:r>
      <w:r w:rsidR="000E44F3">
        <w:rPr>
          <w:rFonts w:ascii="Times New Roman" w:hAnsi="Times New Roman" w:cs="Times New Roman"/>
          <w:sz w:val="28"/>
          <w:szCs w:val="28"/>
          <w:lang w:val="en-US"/>
        </w:rPr>
        <w:t xml:space="preserve">shows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the advantages of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fenestrated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conduit during 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Fontan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in high risk pati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ents, such as reductionof pleural effusion incidence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r w:rsidR="00317E35">
        <w:rPr>
          <w:rFonts w:ascii="Times New Roman" w:hAnsi="Times New Roman" w:cs="Times New Roman"/>
          <w:sz w:val="28"/>
          <w:szCs w:val="28"/>
          <w:lang w:val="en-US"/>
        </w:rPr>
        <w:t xml:space="preserve">shortening of ICU and hospital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stay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and other [</w:t>
      </w:r>
      <w:proofErr w:type="spellStart"/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Lemler</w:t>
      </w:r>
      <w:proofErr w:type="spellEnd"/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M.S. 2002, Mendoza A. 2012, </w:t>
      </w:r>
      <w:proofErr w:type="spellStart"/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Masura</w:t>
      </w:r>
      <w:proofErr w:type="spellEnd"/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J. 2008].</w:t>
      </w:r>
      <w:r w:rsidR="0095351F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 However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creating </w:t>
      </w:r>
      <w:r w:rsidR="0095351F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conduit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fenestrations </w:t>
      </w:r>
      <w:r w:rsidR="0095351F" w:rsidRPr="005E4ADD">
        <w:rPr>
          <w:rFonts w:ascii="Times New Roman" w:hAnsi="Times New Roman" w:cs="Times New Roman"/>
          <w:sz w:val="28"/>
          <w:szCs w:val="28"/>
          <w:lang w:val="en-US"/>
        </w:rPr>
        <w:t>in patients with optimal indications for Fontan operation remains disputable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to this day.</w:t>
      </w:r>
      <w:r w:rsidR="001D06B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Closure of fenestration after achiev</w:t>
      </w:r>
      <w:r w:rsidR="00317E35">
        <w:rPr>
          <w:rFonts w:ascii="Times New Roman" w:hAnsi="Times New Roman" w:cs="Times New Roman"/>
          <w:sz w:val="28"/>
          <w:szCs w:val="28"/>
          <w:lang w:val="en-US"/>
        </w:rPr>
        <w:t xml:space="preserve">ementof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optimal hemodynamic parameters</w:t>
      </w:r>
      <w:r w:rsidR="001D06B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also remains a subject for scientific debates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3947" w:rsidRPr="005E4ADD" w:rsidRDefault="00303947" w:rsidP="00317E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The development</w:t>
      </w:r>
      <w:r w:rsidR="003E7321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ofinterventional cardiology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over the last decade and the invention of percutaneo</w:t>
      </w:r>
      <w:r w:rsidR="003E7321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proofErr w:type="spellStart"/>
      <w:r w:rsidR="003E7321" w:rsidRPr="005E4ADD">
        <w:rPr>
          <w:rFonts w:ascii="Times New Roman" w:hAnsi="Times New Roman" w:cs="Times New Roman"/>
          <w:sz w:val="28"/>
          <w:szCs w:val="28"/>
          <w:lang w:val="en-US"/>
        </w:rPr>
        <w:t>transcatheter</w:t>
      </w:r>
      <w:r w:rsidR="00317E35" w:rsidRPr="005E4ADD"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="003E7321" w:rsidRPr="005E4ADD">
        <w:rPr>
          <w:rFonts w:ascii="Times New Roman" w:hAnsi="Times New Roman" w:cs="Times New Roman"/>
          <w:sz w:val="28"/>
          <w:szCs w:val="28"/>
          <w:lang w:val="en-US"/>
        </w:rPr>
        <w:t>implantation</w:t>
      </w:r>
      <w:proofErr w:type="spellEnd"/>
      <w:r w:rsidR="003E7321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allows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E4ADD">
        <w:rPr>
          <w:rFonts w:ascii="Times New Roman" w:hAnsi="Times New Roman" w:cs="Times New Roman"/>
          <w:sz w:val="28"/>
          <w:szCs w:val="28"/>
          <w:lang w:val="en-US"/>
        </w:rPr>
        <w:t>to close</w:t>
      </w:r>
      <w:proofErr w:type="gram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321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fenestration </w:t>
      </w:r>
      <w:r w:rsidR="00317E35" w:rsidRPr="005E4ADD">
        <w:rPr>
          <w:rFonts w:ascii="Times New Roman" w:hAnsi="Times New Roman" w:cs="Times New Roman"/>
          <w:sz w:val="28"/>
          <w:szCs w:val="28"/>
          <w:lang w:val="en-US"/>
        </w:rPr>
        <w:t>by minimally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invasive metho</w:t>
      </w:r>
      <w:r w:rsidR="003E7321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d, </w:t>
      </w:r>
      <w:r w:rsidR="00317E35" w:rsidRPr="00317E35">
        <w:rPr>
          <w:rFonts w:ascii="Times New Roman" w:hAnsi="Times New Roman" w:cs="Times New Roman"/>
          <w:sz w:val="28"/>
          <w:szCs w:val="28"/>
          <w:lang w:val="en-US"/>
        </w:rPr>
        <w:t>without the need for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open surgery.</w:t>
      </w:r>
    </w:p>
    <w:p w:rsidR="00303947" w:rsidRPr="005E4ADD" w:rsidRDefault="000B2193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This article </w:t>
      </w:r>
      <w:r w:rsidR="00317E35" w:rsidRPr="005E4ADD">
        <w:rPr>
          <w:rFonts w:ascii="Times New Roman" w:hAnsi="Times New Roman" w:cs="Times New Roman"/>
          <w:sz w:val="28"/>
          <w:szCs w:val="28"/>
          <w:lang w:val="en-US"/>
        </w:rPr>
        <w:t>introduces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rsonal experience in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endovascular </w:t>
      </w:r>
      <w:proofErr w:type="spellStart"/>
      <w:r w:rsidRPr="005E4ADD">
        <w:rPr>
          <w:rFonts w:ascii="Times New Roman" w:hAnsi="Times New Roman" w:cs="Times New Roman"/>
          <w:sz w:val="28"/>
          <w:szCs w:val="28"/>
          <w:lang w:val="en-US"/>
        </w:rPr>
        <w:t>extracardiac</w:t>
      </w:r>
      <w:proofErr w:type="spell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conduit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fenestration </w:t>
      </w:r>
      <w:r w:rsidR="00304E60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closure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after Fontan operation in 6 patients.</w:t>
      </w:r>
    </w:p>
    <w:p w:rsidR="00303947" w:rsidRPr="005E4ADD" w:rsidRDefault="00351642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Unfavorable p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reoperative factors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inearly postoperative period after Fontan operation and also </w:t>
      </w:r>
      <w:r w:rsidR="00317E35" w:rsidRPr="005E4ADD">
        <w:rPr>
          <w:rFonts w:ascii="Times New Roman" w:hAnsi="Times New Roman" w:cs="Times New Roman"/>
          <w:sz w:val="28"/>
          <w:szCs w:val="28"/>
          <w:lang w:val="en-US"/>
        </w:rPr>
        <w:t>indications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fenestration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were: mean pulmonary artery pressure greater than 15 mm Hg, the presence of regurgitation i</w:t>
      </w:r>
      <w:r w:rsidR="009E1BAD" w:rsidRPr="005E4ADD">
        <w:rPr>
          <w:rFonts w:ascii="Times New Roman" w:hAnsi="Times New Roman" w:cs="Times New Roman"/>
          <w:sz w:val="28"/>
          <w:szCs w:val="28"/>
          <w:lang w:val="en-US"/>
        </w:rPr>
        <w:t>n the atrioventricular valves, absence of sinus rhythm, the presence of pacemaker, Wood index more than 2 units / m2, systemic ventricle end diastolic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pressure </w:t>
      </w:r>
      <w:r w:rsidR="003F445D" w:rsidRPr="005E4ADD">
        <w:rPr>
          <w:rFonts w:ascii="Times New Roman" w:hAnsi="Times New Roman" w:cs="Times New Roman"/>
          <w:sz w:val="28"/>
          <w:szCs w:val="28"/>
          <w:lang w:val="en-US"/>
        </w:rPr>
        <w:t>above 12 mm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Hg.</w:t>
      </w:r>
    </w:p>
    <w:p w:rsidR="00303947" w:rsidRPr="005E4ADD" w:rsidRDefault="00317E35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B4742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l patients who undergone Fontan operation with creating fenestration after 6 - 12 months </w:t>
      </w:r>
      <w:r>
        <w:rPr>
          <w:rFonts w:ascii="Times New Roman" w:hAnsi="Times New Roman" w:cs="Times New Roman"/>
          <w:sz w:val="28"/>
          <w:szCs w:val="28"/>
          <w:lang w:val="en-US"/>
        </w:rPr>
        <w:t>were referred to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cardiac catheterization </w:t>
      </w:r>
      <w:r>
        <w:rPr>
          <w:rFonts w:ascii="Times New Roman" w:hAnsi="Times New Roman" w:cs="Times New Roman"/>
          <w:sz w:val="28"/>
          <w:szCs w:val="28"/>
          <w:lang w:val="en-US"/>
        </w:rPr>
        <w:t>wit</w:t>
      </w:r>
      <w:r w:rsidR="005F2ABC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balloon </w:t>
      </w:r>
      <w:r w:rsidRPr="00317E35">
        <w:rPr>
          <w:rFonts w:ascii="Times New Roman" w:hAnsi="Times New Roman" w:cs="Times New Roman"/>
          <w:sz w:val="28"/>
          <w:szCs w:val="28"/>
          <w:lang w:val="en-US"/>
        </w:rPr>
        <w:t>temporary closure test</w:t>
      </w:r>
      <w:r w:rsidR="00A2610C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. Evaluation and research carried out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2610C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catheterization laboratory with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5E0323" w:rsidRPr="005E4ADD">
        <w:rPr>
          <w:rFonts w:ascii="Times New Roman" w:hAnsi="Times New Roman" w:cs="Times New Roman"/>
          <w:sz w:val="28"/>
          <w:szCs w:val="28"/>
          <w:lang w:val="en-US"/>
        </w:rPr>
        <w:t>travenous anesthesia. During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catheterization </w:t>
      </w:r>
      <w:r w:rsidR="005E0323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pressure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measured in the superior vena cava (SVC), infer</w:t>
      </w:r>
      <w:r w:rsidR="005E0323" w:rsidRPr="005E4ADD">
        <w:rPr>
          <w:rFonts w:ascii="Times New Roman" w:hAnsi="Times New Roman" w:cs="Times New Roman"/>
          <w:sz w:val="28"/>
          <w:szCs w:val="28"/>
          <w:lang w:val="en-US"/>
        </w:rPr>
        <w:t>ior vena cava (IVC) in condu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it, pulmonary artery branches, </w:t>
      </w:r>
      <w:r w:rsidR="005E0323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atria, systolic, diastolic and end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diasto</w:t>
      </w:r>
      <w:r w:rsidR="005E0323" w:rsidRPr="005E4ADD">
        <w:rPr>
          <w:rFonts w:ascii="Times New Roman" w:hAnsi="Times New Roman" w:cs="Times New Roman"/>
          <w:sz w:val="28"/>
          <w:szCs w:val="28"/>
          <w:lang w:val="en-US"/>
        </w:rPr>
        <w:t>lic ventricular pressure and aorta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="00082FC5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082FC5" w:rsidRPr="005E4ADD">
        <w:rPr>
          <w:rFonts w:ascii="Times New Roman" w:hAnsi="Times New Roman" w:cs="Times New Roman"/>
          <w:sz w:val="28"/>
          <w:szCs w:val="28"/>
          <w:lang w:val="en-US"/>
        </w:rPr>
        <w:t>Calculated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the ratio of systemic and pulmonary blood flow, pulmo</w:t>
      </w:r>
      <w:r w:rsidR="00082FC5" w:rsidRPr="005E4ADD">
        <w:rPr>
          <w:rFonts w:ascii="Times New Roman" w:hAnsi="Times New Roman" w:cs="Times New Roman"/>
          <w:sz w:val="28"/>
          <w:szCs w:val="28"/>
          <w:lang w:val="en-US"/>
        </w:rPr>
        <w:t>nary vascular resistance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03947" w:rsidRPr="005E4ADD" w:rsidRDefault="000A09A8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there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are no clear indications </w:t>
      </w:r>
      <w:r w:rsidR="00317E35" w:rsidRPr="005E4ADD">
        <w:rPr>
          <w:rFonts w:ascii="Times New Roman" w:hAnsi="Times New Roman" w:cs="Times New Roman"/>
          <w:sz w:val="28"/>
          <w:szCs w:val="28"/>
          <w:lang w:val="en-US"/>
        </w:rPr>
        <w:t>for fenestration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closure in the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conduit after Fontan except for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desaturation of arteria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l blood, the risk of </w:t>
      </w:r>
      <w:r w:rsidR="00317E35">
        <w:rPr>
          <w:rFonts w:ascii="Times New Roman" w:hAnsi="Times New Roman" w:cs="Times New Roman"/>
          <w:sz w:val="28"/>
          <w:szCs w:val="28"/>
          <w:lang w:val="en-US"/>
        </w:rPr>
        <w:t>systemic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embolism, reduced exercise tolerance due to hypoxia, high </w:t>
      </w:r>
      <w:r w:rsidR="00855C45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hemoglobin. </w:t>
      </w:r>
      <w:r w:rsidR="00855C45">
        <w:rPr>
          <w:rFonts w:ascii="Times New Roman" w:hAnsi="Times New Roman" w:cs="Times New Roman"/>
          <w:sz w:val="28"/>
          <w:szCs w:val="28"/>
          <w:lang w:val="en-US"/>
        </w:rPr>
        <w:t xml:space="preserve">Absence of negative hemodynamic changes during the test with balloon occlusion </w:t>
      </w:r>
      <w:r w:rsidR="00855C45" w:rsidRPr="005E4ADD">
        <w:rPr>
          <w:rFonts w:ascii="Times New Roman" w:hAnsi="Times New Roman" w:cs="Times New Roman"/>
          <w:sz w:val="28"/>
          <w:szCs w:val="28"/>
          <w:lang w:val="en-US"/>
        </w:rPr>
        <w:t>for 10 minutes</w:t>
      </w:r>
      <w:r w:rsidR="00855C45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855C45" w:rsidRPr="005E4ADD"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="00855C45">
        <w:rPr>
          <w:rFonts w:ascii="Times New Roman" w:hAnsi="Times New Roman" w:cs="Times New Roman"/>
          <w:sz w:val="28"/>
          <w:szCs w:val="28"/>
          <w:lang w:val="en-US"/>
        </w:rPr>
        <w:t xml:space="preserve"> factor in favor of fenestration closure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3947" w:rsidRPr="005E4ADD" w:rsidRDefault="00267A74" w:rsidP="00B878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enestration closure w</w:t>
      </w:r>
      <w:r>
        <w:rPr>
          <w:rFonts w:ascii="Times New Roman" w:hAnsi="Times New Roman" w:cs="Times New Roman"/>
          <w:sz w:val="28"/>
          <w:szCs w:val="28"/>
          <w:lang w:val="en-US"/>
        </w:rPr>
        <w:t>as contraindicated if the next changes were presentduring the balloon occlusion test:</w:t>
      </w:r>
    </w:p>
    <w:p w:rsidR="00303947" w:rsidRPr="005E4ADD" w:rsidRDefault="00303947" w:rsidP="00B878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r w:rsidR="00855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5D01" w:rsidRPr="005E4ADD">
        <w:rPr>
          <w:rFonts w:ascii="Times New Roman" w:hAnsi="Times New Roman" w:cs="Times New Roman"/>
          <w:sz w:val="28"/>
          <w:szCs w:val="28"/>
          <w:lang w:val="en-US"/>
        </w:rPr>
        <w:t>ncreas</w:t>
      </w:r>
      <w:r w:rsidR="00855C45">
        <w:rPr>
          <w:rFonts w:ascii="Times New Roman" w:hAnsi="Times New Roman" w:cs="Times New Roman"/>
          <w:sz w:val="28"/>
          <w:szCs w:val="28"/>
          <w:lang w:val="en-US"/>
        </w:rPr>
        <w:t>eof p</w:t>
      </w:r>
      <w:r w:rsidR="00855C45" w:rsidRPr="005E4ADD">
        <w:rPr>
          <w:rFonts w:ascii="Times New Roman" w:hAnsi="Times New Roman" w:cs="Times New Roman"/>
          <w:sz w:val="28"/>
          <w:szCs w:val="28"/>
          <w:lang w:val="en-US"/>
        </w:rPr>
        <w:t>ressure</w:t>
      </w:r>
      <w:r w:rsidR="00F75D01" w:rsidRPr="005E4AD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Fontan </w:t>
      </w:r>
      <w:r w:rsidR="00267A74" w:rsidRPr="005E4ADD">
        <w:rPr>
          <w:rFonts w:ascii="Times New Roman" w:hAnsi="Times New Roman" w:cs="Times New Roman"/>
          <w:sz w:val="28"/>
          <w:szCs w:val="28"/>
          <w:lang w:val="en-US"/>
        </w:rPr>
        <w:t>anastomos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855C45">
        <w:rPr>
          <w:rFonts w:ascii="Times New Roman" w:hAnsi="Times New Roman" w:cs="Times New Roman"/>
          <w:sz w:val="28"/>
          <w:szCs w:val="28"/>
          <w:lang w:val="en-US"/>
        </w:rPr>
        <w:t xml:space="preserve">over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3-5 mm Hg.</w:t>
      </w:r>
    </w:p>
    <w:p w:rsidR="00303947" w:rsidRPr="005E4ADD" w:rsidRDefault="00E33810" w:rsidP="00B878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2. Increase 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267A74">
        <w:rPr>
          <w:rFonts w:ascii="Times New Roman" w:hAnsi="Times New Roman" w:cs="Times New Roman"/>
          <w:sz w:val="28"/>
          <w:szCs w:val="28"/>
          <w:lang w:val="en-US"/>
        </w:rPr>
        <w:t>arterio</w:t>
      </w:r>
      <w:proofErr w:type="spellEnd"/>
      <w:r w:rsidR="00267A74">
        <w:rPr>
          <w:rFonts w:ascii="Times New Roman" w:hAnsi="Times New Roman" w:cs="Times New Roman"/>
          <w:sz w:val="28"/>
          <w:szCs w:val="28"/>
          <w:lang w:val="en-US"/>
        </w:rPr>
        <w:t xml:space="preserve">-venous difference of oxygen saturationlevel over 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10%.</w:t>
      </w:r>
    </w:p>
    <w:p w:rsidR="00303947" w:rsidRPr="005E4ADD" w:rsidRDefault="00303947" w:rsidP="00B878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3. Red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>uce of</w:t>
      </w:r>
      <w:r w:rsidR="008A1F13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systolic 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 xml:space="preserve">arterial </w:t>
      </w:r>
      <w:r w:rsidR="008A1F13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pressure 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>more than on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10%.</w:t>
      </w:r>
    </w:p>
    <w:p w:rsidR="00303947" w:rsidRDefault="00303947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In the absence of contraindications</w:t>
      </w:r>
      <w:r w:rsidR="000637ED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performed 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>percutaneous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closure of the fenestration</w:t>
      </w:r>
      <w:r w:rsidR="000637ED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occluder for </w:t>
      </w:r>
      <w:r w:rsidR="000637ED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atrial septal defects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closing</w:t>
      </w:r>
      <w:r w:rsidR="000E7FA0" w:rsidRPr="005E4ADD">
        <w:rPr>
          <w:rFonts w:ascii="Times New Roman" w:hAnsi="Times New Roman" w:cs="Times New Roman"/>
          <w:sz w:val="28"/>
          <w:szCs w:val="28"/>
          <w:lang w:val="en-US"/>
        </w:rPr>
        <w:t>. Postoperatively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aspirin </w:t>
      </w:r>
      <w:r w:rsidR="000E7FA0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at a dose of 5 mg / </w:t>
      </w:r>
      <w:r w:rsidR="00267A74" w:rsidRPr="005E4ADD">
        <w:rPr>
          <w:rFonts w:ascii="Times New Roman" w:hAnsi="Times New Roman" w:cs="Times New Roman"/>
          <w:sz w:val="28"/>
          <w:szCs w:val="28"/>
          <w:lang w:val="en-US"/>
        </w:rPr>
        <w:t>kg once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per day</w:t>
      </w:r>
      <w:r w:rsidR="000E7FA0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was administered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2473" w:rsidRPr="005E4ADD" w:rsidRDefault="00BC2473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78AD" w:rsidRPr="00BC2473" w:rsidRDefault="00B878AD" w:rsidP="00B878AD">
      <w:pPr>
        <w:spacing w:after="0" w:line="360" w:lineRule="auto"/>
        <w:ind w:firstLine="708"/>
        <w:jc w:val="both"/>
        <w:rPr>
          <w:rStyle w:val="notranslat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BC2473">
        <w:rPr>
          <w:rFonts w:ascii="Times New Roman" w:hAnsi="Times New Roman" w:cs="Times New Roman"/>
          <w:b/>
          <w:sz w:val="28"/>
          <w:szCs w:val="28"/>
          <w:lang w:val="en-US"/>
        </w:rPr>
        <w:t>Table 1.</w:t>
      </w:r>
      <w:proofErr w:type="gramEnd"/>
      <w:r w:rsidRPr="00BC2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Hemodynamic </w:t>
      </w:r>
      <w:r w:rsidR="00267A74" w:rsidRPr="00BC2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changes </w:t>
      </w:r>
      <w:r w:rsidRPr="00BC2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after the </w:t>
      </w:r>
      <w:proofErr w:type="spellStart"/>
      <w:r w:rsidR="00267A74" w:rsidRPr="00BC2473">
        <w:rPr>
          <w:rFonts w:ascii="Times New Roman" w:hAnsi="Times New Roman" w:cs="Times New Roman"/>
          <w:b/>
          <w:sz w:val="28"/>
          <w:szCs w:val="28"/>
          <w:lang w:val="en-US"/>
        </w:rPr>
        <w:t>fenestration</w:t>
      </w:r>
      <w:r w:rsidR="00BC2473" w:rsidRPr="00BC2473">
        <w:rPr>
          <w:rFonts w:ascii="Times New Roman" w:hAnsi="Times New Roman" w:cs="Times New Roman"/>
          <w:b/>
          <w:sz w:val="28"/>
          <w:szCs w:val="28"/>
          <w:lang w:val="en-US"/>
        </w:rPr>
        <w:t>closure</w:t>
      </w:r>
      <w:proofErr w:type="spellEnd"/>
    </w:p>
    <w:p w:rsidR="00B878AD" w:rsidRPr="005E4ADD" w:rsidRDefault="00B878AD" w:rsidP="00B878AD">
      <w:pPr>
        <w:spacing w:after="0" w:line="360" w:lineRule="auto"/>
        <w:ind w:firstLine="708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760"/>
        <w:gridCol w:w="1317"/>
        <w:gridCol w:w="1358"/>
        <w:gridCol w:w="1317"/>
        <w:gridCol w:w="1317"/>
        <w:gridCol w:w="1056"/>
        <w:gridCol w:w="928"/>
      </w:tblGrid>
      <w:tr w:rsidR="00B878AD" w:rsidRPr="005E4ADD" w:rsidTr="0032694E">
        <w:tc>
          <w:tcPr>
            <w:tcW w:w="51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№</w:t>
            </w:r>
          </w:p>
        </w:tc>
        <w:tc>
          <w:tcPr>
            <w:tcW w:w="1760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from Fontan to fenestration closure (months)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 O</w:t>
            </w: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5E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the closing</w:t>
            </w:r>
          </w:p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(%)</w:t>
            </w:r>
          </w:p>
        </w:tc>
        <w:tc>
          <w:tcPr>
            <w:tcW w:w="135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 O</w:t>
            </w: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5E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the close</w:t>
            </w:r>
          </w:p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(%)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CVP before the closing</w:t>
            </w:r>
          </w:p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мм.рт.ст</w:t>
            </w:r>
            <w:proofErr w:type="spellEnd"/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CVPafter the close</w:t>
            </w:r>
          </w:p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мм.рт.ст</w:t>
            </w:r>
            <w:proofErr w:type="spellEnd"/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1056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p</w:t>
            </w:r>
            <w:proofErr w:type="spellEnd"/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/Q</w:t>
            </w: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s </w:t>
            </w:r>
            <w:r w:rsidRPr="005E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closing</w:t>
            </w:r>
          </w:p>
        </w:tc>
        <w:tc>
          <w:tcPr>
            <w:tcW w:w="92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Hb</w:t>
            </w:r>
            <w:proofErr w:type="spellEnd"/>
          </w:p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E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G/l</w:t>
            </w: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B878AD" w:rsidRPr="005E4ADD" w:rsidTr="0032694E">
        <w:tc>
          <w:tcPr>
            <w:tcW w:w="51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760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0,2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78</w:t>
            </w:r>
          </w:p>
        </w:tc>
        <w:tc>
          <w:tcPr>
            <w:tcW w:w="135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91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1056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0,82</w:t>
            </w:r>
          </w:p>
        </w:tc>
        <w:tc>
          <w:tcPr>
            <w:tcW w:w="92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174</w:t>
            </w:r>
          </w:p>
        </w:tc>
      </w:tr>
      <w:tr w:rsidR="00B878AD" w:rsidRPr="005E4ADD" w:rsidTr="0032694E">
        <w:tc>
          <w:tcPr>
            <w:tcW w:w="51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760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34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93</w:t>
            </w:r>
          </w:p>
        </w:tc>
        <w:tc>
          <w:tcPr>
            <w:tcW w:w="135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1056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0,87</w:t>
            </w:r>
          </w:p>
        </w:tc>
        <w:tc>
          <w:tcPr>
            <w:tcW w:w="92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189</w:t>
            </w:r>
          </w:p>
        </w:tc>
      </w:tr>
      <w:tr w:rsidR="00B878AD" w:rsidRPr="005E4ADD" w:rsidTr="0032694E">
        <w:tc>
          <w:tcPr>
            <w:tcW w:w="51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760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93</w:t>
            </w:r>
          </w:p>
        </w:tc>
        <w:tc>
          <w:tcPr>
            <w:tcW w:w="135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1056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0,9</w:t>
            </w:r>
          </w:p>
        </w:tc>
        <w:tc>
          <w:tcPr>
            <w:tcW w:w="92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178</w:t>
            </w:r>
          </w:p>
        </w:tc>
      </w:tr>
      <w:tr w:rsidR="00B878AD" w:rsidRPr="005E4ADD" w:rsidTr="0032694E">
        <w:tc>
          <w:tcPr>
            <w:tcW w:w="51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760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92</w:t>
            </w:r>
          </w:p>
        </w:tc>
        <w:tc>
          <w:tcPr>
            <w:tcW w:w="135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1056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0,8</w:t>
            </w:r>
          </w:p>
        </w:tc>
        <w:tc>
          <w:tcPr>
            <w:tcW w:w="92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210</w:t>
            </w:r>
          </w:p>
        </w:tc>
      </w:tr>
      <w:tr w:rsidR="00B878AD" w:rsidRPr="005E4ADD" w:rsidTr="0032694E">
        <w:tc>
          <w:tcPr>
            <w:tcW w:w="51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760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92</w:t>
            </w:r>
          </w:p>
        </w:tc>
        <w:tc>
          <w:tcPr>
            <w:tcW w:w="135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1056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0,79</w:t>
            </w:r>
          </w:p>
        </w:tc>
        <w:tc>
          <w:tcPr>
            <w:tcW w:w="92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192</w:t>
            </w:r>
          </w:p>
        </w:tc>
      </w:tr>
      <w:tr w:rsidR="00B878AD" w:rsidRPr="005E4ADD" w:rsidTr="0032694E">
        <w:tc>
          <w:tcPr>
            <w:tcW w:w="51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1760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96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90</w:t>
            </w:r>
          </w:p>
        </w:tc>
        <w:tc>
          <w:tcPr>
            <w:tcW w:w="135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95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1317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1056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0,82</w:t>
            </w:r>
          </w:p>
        </w:tc>
        <w:tc>
          <w:tcPr>
            <w:tcW w:w="928" w:type="dxa"/>
          </w:tcPr>
          <w:p w:rsidR="00B878AD" w:rsidRPr="005E4ADD" w:rsidRDefault="00B878AD" w:rsidP="005044CA">
            <w:pPr>
              <w:jc w:val="center"/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E4ADD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188</w:t>
            </w:r>
          </w:p>
        </w:tc>
      </w:tr>
    </w:tbl>
    <w:p w:rsidR="00B878AD" w:rsidRPr="005E4ADD" w:rsidRDefault="00B878AD" w:rsidP="00B878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947" w:rsidRPr="005E4ADD" w:rsidRDefault="00303947" w:rsidP="00267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One patient</w:t>
      </w:r>
      <w:r w:rsidR="00801D3E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underwent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fenestration </w:t>
      </w:r>
      <w:r w:rsidR="00801D3E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closure </w:t>
      </w:r>
      <w:r w:rsidR="00267A74" w:rsidRPr="005E4AD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67A7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day4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after surgery due to</w:t>
      </w:r>
      <w:r w:rsidR="00801D3E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severe hypox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>emia</w:t>
      </w:r>
      <w:r w:rsidR="00267A74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267A74">
        <w:rPr>
          <w:rFonts w:ascii="Times New Roman" w:hAnsi="Times New Roman" w:cs="Times New Roman"/>
          <w:sz w:val="28"/>
          <w:szCs w:val="28"/>
          <w:lang w:val="en-US"/>
        </w:rPr>
        <w:t xml:space="preserve">interfere the </w:t>
      </w:r>
      <w:r w:rsidR="00267A74" w:rsidRPr="00267A74">
        <w:rPr>
          <w:rFonts w:ascii="Times New Roman" w:hAnsi="Times New Roman" w:cs="Times New Roman"/>
          <w:sz w:val="28"/>
          <w:szCs w:val="28"/>
          <w:lang w:val="en-US"/>
        </w:rPr>
        <w:t>spontaneous breathing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3947" w:rsidRPr="005E4ADD" w:rsidRDefault="00A914CD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ADD">
        <w:rPr>
          <w:rFonts w:ascii="Times New Roman" w:hAnsi="Times New Roman" w:cs="Times New Roman"/>
          <w:sz w:val="28"/>
          <w:szCs w:val="28"/>
          <w:lang w:val="en-US"/>
        </w:rPr>
        <w:t>Immediateintervention result was successful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in all </w:t>
      </w:r>
      <w:r w:rsidR="00267A74" w:rsidRPr="005E4ADD">
        <w:rPr>
          <w:rFonts w:ascii="Times New Roman" w:hAnsi="Times New Roman" w:cs="Times New Roman"/>
          <w:sz w:val="28"/>
          <w:szCs w:val="28"/>
          <w:lang w:val="en-US"/>
        </w:rPr>
        <w:t>cases;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there was an increase of oxygen s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aturation in arterial blood. 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5A82" w:rsidRPr="005E4ADD">
        <w:rPr>
          <w:rFonts w:ascii="Times New Roman" w:hAnsi="Times New Roman" w:cs="Times New Roman"/>
          <w:sz w:val="28"/>
          <w:szCs w:val="28"/>
          <w:lang w:val="en-US"/>
        </w:rPr>
        <w:t>uring the first day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>s after procedure</w:t>
      </w:r>
      <w:r w:rsidR="00E45A82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saturation of arterial blood did 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 xml:space="preserve">slightly </w:t>
      </w:r>
      <w:r w:rsidR="00E45A82" w:rsidRPr="005E4ADD">
        <w:rPr>
          <w:rFonts w:ascii="Times New Roman" w:hAnsi="Times New Roman" w:cs="Times New Roman"/>
          <w:sz w:val="28"/>
          <w:szCs w:val="28"/>
          <w:lang w:val="en-US"/>
        </w:rPr>
        <w:t>reach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E45A82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97 - 100% 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>with total occlusion of the shunt on the level of the implanted device</w:t>
      </w:r>
      <w:r w:rsidR="00303947"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E19" w:rsidRDefault="00303947" w:rsidP="00950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4ADD">
        <w:rPr>
          <w:rFonts w:ascii="Times New Roman" w:hAnsi="Times New Roman" w:cs="Times New Roman"/>
          <w:b/>
          <w:sz w:val="28"/>
          <w:szCs w:val="28"/>
          <w:lang w:val="en-US"/>
        </w:rPr>
        <w:t>Conclusions.</w:t>
      </w:r>
      <w:proofErr w:type="gram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gramStart"/>
      <w:r w:rsidR="00E45A8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6 - 12 months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 xml:space="preserve"> after fenestrated Fontan completion the</w:t>
      </w:r>
      <w:r w:rsidR="003F1DE9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diagnostic cardiac catheterization 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3F1DE9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fenestration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occlusion</w:t>
      </w:r>
      <w:r w:rsidR="003F1DE9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 test 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45A82" w:rsidRPr="005E4ADD">
        <w:rPr>
          <w:rFonts w:ascii="Times New Roman" w:hAnsi="Times New Roman" w:cs="Times New Roman"/>
          <w:sz w:val="28"/>
          <w:szCs w:val="28"/>
          <w:lang w:val="en-US"/>
        </w:rPr>
        <w:t>recommended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. In the absence of significant hemodynamic changes </w:t>
      </w:r>
      <w:r w:rsidR="003F1DE9"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 xml:space="preserve">endovascular </w:t>
      </w:r>
      <w:r w:rsidR="003F1DE9" w:rsidRPr="005E4ADD">
        <w:rPr>
          <w:rFonts w:ascii="Times New Roman" w:hAnsi="Times New Roman" w:cs="Times New Roman"/>
          <w:sz w:val="28"/>
          <w:szCs w:val="28"/>
          <w:lang w:val="en-US"/>
        </w:rPr>
        <w:t>closure</w:t>
      </w:r>
      <w:r w:rsidR="00DF478E">
        <w:rPr>
          <w:rFonts w:ascii="Times New Roman" w:hAnsi="Times New Roman" w:cs="Times New Roman"/>
          <w:sz w:val="28"/>
          <w:szCs w:val="28"/>
          <w:lang w:val="en-US"/>
        </w:rPr>
        <w:t xml:space="preserve"> off</w:t>
      </w:r>
      <w:r w:rsidR="00DF478E" w:rsidRPr="005E4ADD">
        <w:rPr>
          <w:rFonts w:ascii="Times New Roman" w:hAnsi="Times New Roman" w:cs="Times New Roman"/>
          <w:sz w:val="28"/>
          <w:szCs w:val="28"/>
          <w:lang w:val="en-US"/>
        </w:rPr>
        <w:t>enestration</w:t>
      </w:r>
      <w:r w:rsidR="00E45A8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E45A82" w:rsidRPr="005E4ADD">
        <w:rPr>
          <w:rFonts w:ascii="Times New Roman" w:hAnsi="Times New Roman" w:cs="Times New Roman"/>
          <w:sz w:val="28"/>
          <w:szCs w:val="28"/>
          <w:lang w:val="en-US"/>
        </w:rPr>
        <w:t>possible</w:t>
      </w:r>
      <w:r w:rsidRPr="005E4A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5A82" w:rsidRPr="0095037E" w:rsidRDefault="0095037E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37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923A5" w:rsidRPr="0095037E">
        <w:rPr>
          <w:rFonts w:ascii="Times New Roman" w:hAnsi="Times New Roman" w:cs="Times New Roman"/>
          <w:sz w:val="28"/>
          <w:szCs w:val="28"/>
          <w:lang w:val="en-US"/>
        </w:rPr>
        <w:t>Percutaneous occlusion of the fenestration is effective and safe method of closing the shunt in patients with Fontan circulation.</w:t>
      </w:r>
    </w:p>
    <w:p w:rsidR="00E45A82" w:rsidRPr="001923A5" w:rsidRDefault="00E45A82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4AAD" w:rsidRDefault="00EB4AAD" w:rsidP="00EB4AAD">
      <w:pPr>
        <w:spacing w:line="360" w:lineRule="auto"/>
        <w:ind w:firstLine="708"/>
        <w:jc w:val="center"/>
        <w:rPr>
          <w:rStyle w:val="hps"/>
          <w:rFonts w:ascii="Times New Roman" w:hAnsi="Times New Roman"/>
          <w:b/>
          <w:color w:val="222222"/>
          <w:sz w:val="28"/>
          <w:szCs w:val="28"/>
        </w:rPr>
      </w:pPr>
      <w:proofErr w:type="spellStart"/>
      <w:r w:rsidRPr="00BF6928">
        <w:rPr>
          <w:rStyle w:val="hps"/>
          <w:rFonts w:ascii="Times New Roman" w:hAnsi="Times New Roman"/>
          <w:b/>
          <w:color w:val="222222"/>
          <w:sz w:val="28"/>
          <w:szCs w:val="28"/>
        </w:rPr>
        <w:t>References</w:t>
      </w:r>
      <w:proofErr w:type="spellEnd"/>
    </w:p>
    <w:p w:rsidR="00BC2473" w:rsidRPr="00DE2573" w:rsidRDefault="00BC2473" w:rsidP="00BC247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1. Yasuhiro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Kotani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,  Devin Chetan,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Arezou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Saedi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Jiaquan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 Zhu, Lars Grosse-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Wortmann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, John G. Coles, Christopher A.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Caldarone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, Glen S. Van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Arsdelland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Osami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Honjo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. Persistent fenestration may be a marker for physiologic intolerance after Fontan completion // The Journal of Thoracic and Cardiovascular Surgery. – 2014. – Vol. 148, N 6. – P. 2532–2538.</w:t>
      </w:r>
    </w:p>
    <w:p w:rsidR="00BC2473" w:rsidRPr="00DE2573" w:rsidRDefault="00BC2473" w:rsidP="00BC2473">
      <w:pPr>
        <w:pStyle w:val="a5"/>
        <w:spacing w:after="0" w:line="360" w:lineRule="auto"/>
        <w:ind w:left="0"/>
        <w:jc w:val="both"/>
        <w:rPr>
          <w:rStyle w:val="HTML"/>
          <w:rFonts w:ascii="Times New Roman" w:hAnsi="Times New Roman"/>
          <w:iCs w:val="0"/>
          <w:color w:val="222222"/>
          <w:sz w:val="28"/>
          <w:szCs w:val="28"/>
          <w:bdr w:val="none" w:sz="0" w:space="0" w:color="auto" w:frame="1"/>
          <w:lang w:val="en-US"/>
        </w:rPr>
      </w:pPr>
      <w:r w:rsidRPr="00DE2573">
        <w:rPr>
          <w:rStyle w:val="HTML"/>
          <w:rFonts w:ascii="Times New Roman" w:hAnsi="Times New Roman"/>
          <w:i w:val="0"/>
          <w:iCs w:val="0"/>
          <w:color w:val="222222"/>
          <w:sz w:val="28"/>
          <w:szCs w:val="28"/>
          <w:bdr w:val="none" w:sz="0" w:space="0" w:color="auto" w:frame="1"/>
          <w:lang w:val="en-US"/>
        </w:rPr>
        <w:t xml:space="preserve">2. Kreutzer J., Ryan C. A., Wright J. A., et al. Acute animal studies of the </w:t>
      </w:r>
      <w:proofErr w:type="spellStart"/>
      <w:r w:rsidRPr="00DE2573">
        <w:rPr>
          <w:rStyle w:val="HTML"/>
          <w:rFonts w:ascii="Times New Roman" w:hAnsi="Times New Roman"/>
          <w:i w:val="0"/>
          <w:iCs w:val="0"/>
          <w:color w:val="222222"/>
          <w:sz w:val="28"/>
          <w:szCs w:val="28"/>
          <w:bdr w:val="none" w:sz="0" w:space="0" w:color="auto" w:frame="1"/>
          <w:lang w:val="en-US"/>
        </w:rPr>
        <w:t>STARFlex</w:t>
      </w:r>
      <w:proofErr w:type="spellEnd"/>
      <w:r w:rsidRPr="00DE2573">
        <w:rPr>
          <w:rStyle w:val="HTML"/>
          <w:rFonts w:ascii="Times New Roman" w:hAnsi="Times New Roman"/>
          <w:i w:val="0"/>
          <w:iCs w:val="0"/>
          <w:color w:val="222222"/>
          <w:sz w:val="28"/>
          <w:szCs w:val="28"/>
          <w:bdr w:val="none" w:sz="0" w:space="0" w:color="auto" w:frame="1"/>
          <w:lang w:val="en-US"/>
        </w:rPr>
        <w:t xml:space="preserve"> system: a new self-centering </w:t>
      </w:r>
      <w:proofErr w:type="spellStart"/>
      <w:r w:rsidRPr="00DE2573">
        <w:rPr>
          <w:rStyle w:val="HTML"/>
          <w:rFonts w:ascii="Times New Roman" w:hAnsi="Times New Roman"/>
          <w:i w:val="0"/>
          <w:iCs w:val="0"/>
          <w:color w:val="222222"/>
          <w:sz w:val="28"/>
          <w:szCs w:val="28"/>
          <w:bdr w:val="none" w:sz="0" w:space="0" w:color="auto" w:frame="1"/>
          <w:lang w:val="en-US"/>
        </w:rPr>
        <w:t>CardioSEAL</w:t>
      </w:r>
      <w:proofErr w:type="spellEnd"/>
      <w:r w:rsidRPr="00DE2573">
        <w:rPr>
          <w:rStyle w:val="HTML"/>
          <w:rFonts w:ascii="Times New Roman" w:hAnsi="Times New Roman"/>
          <w:i w:val="0"/>
          <w:iCs w:val="0"/>
          <w:color w:val="222222"/>
          <w:sz w:val="28"/>
          <w:szCs w:val="28"/>
          <w:bdr w:val="none" w:sz="0" w:space="0" w:color="auto" w:frame="1"/>
          <w:lang w:val="en-US"/>
        </w:rPr>
        <w:t xml:space="preserve"> septal </w:t>
      </w:r>
      <w:proofErr w:type="spellStart"/>
      <w:r w:rsidRPr="00DE2573">
        <w:rPr>
          <w:rStyle w:val="HTML"/>
          <w:rFonts w:ascii="Times New Roman" w:hAnsi="Times New Roman"/>
          <w:i w:val="0"/>
          <w:iCs w:val="0"/>
          <w:color w:val="222222"/>
          <w:sz w:val="28"/>
          <w:szCs w:val="28"/>
          <w:bdr w:val="none" w:sz="0" w:space="0" w:color="auto" w:frame="1"/>
          <w:lang w:val="en-US"/>
        </w:rPr>
        <w:t>occluder</w:t>
      </w:r>
      <w:proofErr w:type="spellEnd"/>
      <w:r w:rsidRPr="00DE2573">
        <w:rPr>
          <w:rStyle w:val="HTML"/>
          <w:rFonts w:ascii="Times New Roman" w:hAnsi="Times New Roman"/>
          <w:i w:val="0"/>
          <w:iCs w:val="0"/>
          <w:color w:val="222222"/>
          <w:sz w:val="28"/>
          <w:szCs w:val="28"/>
          <w:bdr w:val="none" w:sz="0" w:space="0" w:color="auto" w:frame="1"/>
          <w:lang w:val="en-US"/>
        </w:rPr>
        <w:t xml:space="preserve"> //</w:t>
      </w:r>
      <w:r w:rsidRPr="00DE2573">
        <w:rPr>
          <w:rStyle w:val="apple-converted-space"/>
          <w:rFonts w:ascii="Times New Roman" w:hAnsi="Times New Roman"/>
          <w:i/>
          <w:color w:val="222222"/>
          <w:sz w:val="28"/>
          <w:szCs w:val="28"/>
          <w:bdr w:val="none" w:sz="0" w:space="0" w:color="auto" w:frame="1"/>
          <w:lang w:val="en-US"/>
        </w:rPr>
        <w:t> </w:t>
      </w:r>
      <w:r w:rsidRPr="00DE2573">
        <w:rPr>
          <w:rStyle w:val="a4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lang w:val="en-US"/>
        </w:rPr>
        <w:t>Catheter</w:t>
      </w:r>
      <w:r w:rsidRPr="00DE2573">
        <w:rPr>
          <w:rStyle w:val="a4"/>
          <w:rFonts w:ascii="Times New Roman" w:hAnsi="Times New Roman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DE2573">
        <w:rPr>
          <w:rStyle w:val="a4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lang w:val="en-US"/>
        </w:rPr>
        <w:t>Cardiovasc</w:t>
      </w:r>
      <w:proofErr w:type="spellEnd"/>
      <w:r w:rsidRPr="00DE2573">
        <w:rPr>
          <w:rStyle w:val="a4"/>
          <w:rFonts w:ascii="Times New Roman" w:hAnsi="Times New Roman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DE2573">
        <w:rPr>
          <w:rStyle w:val="cit-source"/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lang w:val="en-US"/>
        </w:rPr>
        <w:t>Interv</w:t>
      </w:r>
      <w:proofErr w:type="spellEnd"/>
      <w:r w:rsidRPr="00DE2573">
        <w:rPr>
          <w:rStyle w:val="cit-source"/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lang w:val="en-US"/>
        </w:rPr>
        <w:t xml:space="preserve">. – </w:t>
      </w:r>
      <w:r w:rsidRPr="00DE2573">
        <w:rPr>
          <w:rStyle w:val="cit-pub-date"/>
          <w:rFonts w:ascii="Times New Roman" w:hAnsi="Times New Roman"/>
          <w:color w:val="222222"/>
          <w:sz w:val="28"/>
          <w:szCs w:val="28"/>
          <w:bdr w:val="none" w:sz="0" w:space="0" w:color="auto" w:frame="1"/>
          <w:lang w:val="en-US"/>
        </w:rPr>
        <w:t xml:space="preserve">2000.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Vol. </w:t>
      </w:r>
      <w:r w:rsidRPr="00DE2573">
        <w:rPr>
          <w:rStyle w:val="cit-vol"/>
          <w:rFonts w:ascii="Times New Roman" w:hAnsi="Times New Roman"/>
          <w:color w:val="222222"/>
          <w:sz w:val="28"/>
          <w:szCs w:val="28"/>
          <w:bdr w:val="none" w:sz="0" w:space="0" w:color="auto" w:frame="1"/>
          <w:lang w:val="en-US"/>
        </w:rPr>
        <w:t xml:space="preserve">49.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P. </w:t>
      </w:r>
      <w:r w:rsidRPr="00DE2573">
        <w:rPr>
          <w:rStyle w:val="cit-fpage"/>
          <w:rFonts w:ascii="Times New Roman" w:hAnsi="Times New Roman"/>
          <w:color w:val="222222"/>
          <w:sz w:val="28"/>
          <w:szCs w:val="28"/>
          <w:bdr w:val="none" w:sz="0" w:space="0" w:color="auto" w:frame="1"/>
          <w:lang w:val="en-US"/>
        </w:rPr>
        <w:t>225</w:t>
      </w:r>
      <w:r w:rsidRPr="00DE2573">
        <w:rPr>
          <w:rStyle w:val="HTML"/>
          <w:rFonts w:ascii="Times New Roman" w:hAnsi="Times New Roman"/>
          <w:iCs w:val="0"/>
          <w:color w:val="222222"/>
          <w:sz w:val="28"/>
          <w:szCs w:val="28"/>
          <w:bdr w:val="none" w:sz="0" w:space="0" w:color="auto" w:frame="1"/>
          <w:lang w:val="en-US"/>
        </w:rPr>
        <w:t>–233.</w:t>
      </w:r>
    </w:p>
    <w:p w:rsidR="00BC2473" w:rsidRPr="00DE2573" w:rsidRDefault="00BC2473" w:rsidP="00BC2473">
      <w:pPr>
        <w:pStyle w:val="HTML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3. </w:t>
      </w:r>
      <w:proofErr w:type="spellStart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Bartlomiej</w:t>
      </w:r>
      <w:proofErr w:type="spellEnd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R. </w:t>
      </w:r>
      <w:proofErr w:type="spellStart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Imielski</w:t>
      </w:r>
      <w:proofErr w:type="spellEnd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 Ronald K. Woods,  Kathleen A. </w:t>
      </w:r>
      <w:proofErr w:type="spellStart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Mussatto</w:t>
      </w:r>
      <w:proofErr w:type="spellEnd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,  </w:t>
      </w:r>
      <w:proofErr w:type="spellStart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Yumei</w:t>
      </w:r>
      <w:proofErr w:type="spellEnd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Cao, Pippa M. Simpson, and James S. </w:t>
      </w:r>
      <w:proofErr w:type="spellStart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Tweddell</w:t>
      </w:r>
      <w:proofErr w:type="spellEnd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Fontan Fenestration Closure and Event-Free Survival // J </w:t>
      </w:r>
      <w:proofErr w:type="spellStart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Thorac</w:t>
      </w:r>
      <w:proofErr w:type="spellEnd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Cardiovasc</w:t>
      </w:r>
      <w:proofErr w:type="spellEnd"/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Surg. – 2013 Jan.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Vol. </w:t>
      </w:r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145 (1).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P. </w:t>
      </w:r>
      <w:r w:rsidRPr="00DE2573">
        <w:rPr>
          <w:rFonts w:ascii="Times New Roman" w:hAnsi="Times New Roman" w:cs="Times New Roman"/>
          <w:color w:val="000000"/>
          <w:sz w:val="28"/>
          <w:szCs w:val="28"/>
          <w:lang w:val="en-US"/>
        </w:rPr>
        <w:t>183–187.</w:t>
      </w:r>
    </w:p>
    <w:p w:rsidR="00BC2473" w:rsidRPr="00DE2573" w:rsidRDefault="00BC2473" w:rsidP="00BC2473">
      <w:pPr>
        <w:pStyle w:val="a5"/>
        <w:spacing w:after="0" w:line="360" w:lineRule="auto"/>
        <w:ind w:left="0"/>
        <w:jc w:val="both"/>
        <w:rPr>
          <w:rStyle w:val="apple-converted-space"/>
          <w:rFonts w:ascii="Times New Roman" w:hAnsi="Times New Roman"/>
          <w:color w:val="222222"/>
          <w:sz w:val="28"/>
          <w:szCs w:val="28"/>
          <w:bdr w:val="none" w:sz="0" w:space="0" w:color="auto" w:frame="1"/>
          <w:lang w:val="en-US"/>
        </w:rPr>
      </w:pPr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4. Mendoza A., Albert L., Ruiz E.,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Boni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L., Ramos V., Velasco J. M., et al.</w:t>
      </w:r>
      <w:r w:rsidRPr="00DE25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bookmarkStart w:id="0" w:name="bib4"/>
      <w:bookmarkEnd w:id="0"/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Operación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de Fontan.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Estudio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los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factores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hemodinámicos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asociados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 la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evolución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postoperatoria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// Rev </w:t>
      </w:r>
      <w:proofErr w:type="spellStart"/>
      <w:proofErr w:type="gram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Esp</w:t>
      </w:r>
      <w:proofErr w:type="spellEnd"/>
      <w:proofErr w:type="gram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Cardiol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– 2012.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Vol. </w:t>
      </w:r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65.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P. </w:t>
      </w:r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356–62.</w:t>
      </w:r>
    </w:p>
    <w:p w:rsidR="00BC2473" w:rsidRPr="00DE2573" w:rsidRDefault="00BC2473" w:rsidP="00BC2473">
      <w:pPr>
        <w:pStyle w:val="a5"/>
        <w:spacing w:after="0" w:line="360" w:lineRule="auto"/>
        <w:ind w:left="0"/>
        <w:jc w:val="both"/>
        <w:rPr>
          <w:rStyle w:val="notranslate"/>
          <w:rFonts w:ascii="Times New Roman" w:hAnsi="Times New Roman"/>
          <w:color w:val="222222"/>
          <w:sz w:val="28"/>
          <w:szCs w:val="28"/>
          <w:bdr w:val="none" w:sz="0" w:space="0" w:color="auto" w:frame="1"/>
          <w:lang w:val="en-US"/>
        </w:rPr>
      </w:pPr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5. 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Masura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J.,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Borodacova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L.,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Tittel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P.,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Berden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P.,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Podnar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T.</w:t>
      </w:r>
      <w:r w:rsidRPr="00DE25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bookmarkStart w:id="1" w:name="bib3"/>
      <w:bookmarkEnd w:id="1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Percutaneous management of cyanosis in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fontan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patients using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amplatzer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occluders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 // Catheter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Cardiovasc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Interv</w:t>
      </w:r>
      <w:proofErr w:type="spellEnd"/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– 2008.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>Vol. </w:t>
      </w:r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71. – </w:t>
      </w:r>
      <w:r w:rsidRPr="00DE2573">
        <w:rPr>
          <w:rFonts w:ascii="Times New Roman" w:hAnsi="Times New Roman"/>
          <w:color w:val="000000"/>
          <w:sz w:val="28"/>
          <w:szCs w:val="28"/>
          <w:lang w:val="en-US"/>
        </w:rPr>
        <w:t xml:space="preserve">P. </w:t>
      </w:r>
      <w:r w:rsidRPr="00DE2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843–9.</w:t>
      </w:r>
      <w:r w:rsidRPr="00DE25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EB4AAD" w:rsidRPr="00BC2473" w:rsidRDefault="00EB4AAD" w:rsidP="00EB4AAD">
      <w:pPr>
        <w:spacing w:line="360" w:lineRule="auto"/>
        <w:ind w:firstLine="708"/>
        <w:jc w:val="center"/>
        <w:rPr>
          <w:rStyle w:val="hps"/>
          <w:rFonts w:ascii="Times New Roman" w:hAnsi="Times New Roman"/>
          <w:b/>
          <w:color w:val="222222"/>
          <w:sz w:val="28"/>
          <w:szCs w:val="28"/>
          <w:lang w:val="en-US"/>
        </w:rPr>
      </w:pPr>
      <w:bookmarkStart w:id="2" w:name="_GoBack"/>
      <w:bookmarkEnd w:id="2"/>
    </w:p>
    <w:p w:rsidR="00E45A82" w:rsidRPr="001923A5" w:rsidRDefault="00E45A82" w:rsidP="00B8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5A82" w:rsidRPr="001923A5" w:rsidSect="00DD2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4CA"/>
    <w:multiLevelType w:val="hybridMultilevel"/>
    <w:tmpl w:val="AB44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7"/>
    <w:rsid w:val="000637ED"/>
    <w:rsid w:val="00082FC5"/>
    <w:rsid w:val="000A09A8"/>
    <w:rsid w:val="000B2193"/>
    <w:rsid w:val="000E44F3"/>
    <w:rsid w:val="000E7FA0"/>
    <w:rsid w:val="00155B41"/>
    <w:rsid w:val="00175F1A"/>
    <w:rsid w:val="00186D54"/>
    <w:rsid w:val="001923A5"/>
    <w:rsid w:val="001D06B4"/>
    <w:rsid w:val="00267A74"/>
    <w:rsid w:val="002E36B8"/>
    <w:rsid w:val="00303947"/>
    <w:rsid w:val="00304E60"/>
    <w:rsid w:val="0031551E"/>
    <w:rsid w:val="00317E35"/>
    <w:rsid w:val="00351642"/>
    <w:rsid w:val="003E7321"/>
    <w:rsid w:val="003F1DE9"/>
    <w:rsid w:val="003F445D"/>
    <w:rsid w:val="00426880"/>
    <w:rsid w:val="00474258"/>
    <w:rsid w:val="00501CA6"/>
    <w:rsid w:val="005044CA"/>
    <w:rsid w:val="00540114"/>
    <w:rsid w:val="005E0323"/>
    <w:rsid w:val="005E4ADD"/>
    <w:rsid w:val="005F2ABC"/>
    <w:rsid w:val="00625469"/>
    <w:rsid w:val="00636942"/>
    <w:rsid w:val="006440F9"/>
    <w:rsid w:val="006819F6"/>
    <w:rsid w:val="00733344"/>
    <w:rsid w:val="00743870"/>
    <w:rsid w:val="00777FDC"/>
    <w:rsid w:val="007B3E68"/>
    <w:rsid w:val="00801D3E"/>
    <w:rsid w:val="00832B63"/>
    <w:rsid w:val="00855C45"/>
    <w:rsid w:val="008A1F13"/>
    <w:rsid w:val="008E6245"/>
    <w:rsid w:val="00936A76"/>
    <w:rsid w:val="0095037E"/>
    <w:rsid w:val="0095351F"/>
    <w:rsid w:val="009E1BAD"/>
    <w:rsid w:val="00A0188C"/>
    <w:rsid w:val="00A2610C"/>
    <w:rsid w:val="00A601B2"/>
    <w:rsid w:val="00A914CD"/>
    <w:rsid w:val="00AD3176"/>
    <w:rsid w:val="00B878AD"/>
    <w:rsid w:val="00BC2473"/>
    <w:rsid w:val="00C13524"/>
    <w:rsid w:val="00D73D98"/>
    <w:rsid w:val="00D8171F"/>
    <w:rsid w:val="00DB4742"/>
    <w:rsid w:val="00DC3545"/>
    <w:rsid w:val="00DD2E19"/>
    <w:rsid w:val="00DF478E"/>
    <w:rsid w:val="00E04DD2"/>
    <w:rsid w:val="00E33810"/>
    <w:rsid w:val="00E45A82"/>
    <w:rsid w:val="00EB4AAD"/>
    <w:rsid w:val="00ED74A5"/>
    <w:rsid w:val="00EF0C2C"/>
    <w:rsid w:val="00F67B12"/>
    <w:rsid w:val="00F75D01"/>
    <w:rsid w:val="00FA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uiPriority w:val="99"/>
    <w:rsid w:val="00B878AD"/>
  </w:style>
  <w:style w:type="table" w:styleId="a3">
    <w:name w:val="Table Grid"/>
    <w:basedOn w:val="a1"/>
    <w:uiPriority w:val="59"/>
    <w:rsid w:val="00B878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B4AAD"/>
  </w:style>
  <w:style w:type="character" w:customStyle="1" w:styleId="apple-converted-space">
    <w:name w:val="apple-converted-space"/>
    <w:basedOn w:val="a0"/>
    <w:uiPriority w:val="99"/>
    <w:rsid w:val="00EB4AAD"/>
  </w:style>
  <w:style w:type="character" w:styleId="HTML">
    <w:name w:val="HTML Cite"/>
    <w:basedOn w:val="a0"/>
    <w:uiPriority w:val="99"/>
    <w:semiHidden/>
    <w:unhideWhenUsed/>
    <w:rsid w:val="00EB4AAD"/>
    <w:rPr>
      <w:i/>
      <w:iCs/>
    </w:rPr>
  </w:style>
  <w:style w:type="character" w:customStyle="1" w:styleId="cit-source">
    <w:name w:val="cit-source"/>
    <w:basedOn w:val="a0"/>
    <w:uiPriority w:val="99"/>
    <w:rsid w:val="00EB4AAD"/>
  </w:style>
  <w:style w:type="character" w:styleId="a4">
    <w:name w:val="Emphasis"/>
    <w:basedOn w:val="a0"/>
    <w:uiPriority w:val="99"/>
    <w:qFormat/>
    <w:rsid w:val="00EB4AAD"/>
    <w:rPr>
      <w:i/>
      <w:iCs/>
    </w:rPr>
  </w:style>
  <w:style w:type="character" w:customStyle="1" w:styleId="cit-pub-date">
    <w:name w:val="cit-pub-date"/>
    <w:basedOn w:val="a0"/>
    <w:uiPriority w:val="99"/>
    <w:rsid w:val="00EB4AAD"/>
  </w:style>
  <w:style w:type="character" w:customStyle="1" w:styleId="cit-vol">
    <w:name w:val="cit-vol"/>
    <w:basedOn w:val="a0"/>
    <w:uiPriority w:val="99"/>
    <w:rsid w:val="00EB4AAD"/>
  </w:style>
  <w:style w:type="character" w:customStyle="1" w:styleId="cit-fpage">
    <w:name w:val="cit-fpage"/>
    <w:basedOn w:val="a0"/>
    <w:uiPriority w:val="99"/>
    <w:rsid w:val="00EB4AAD"/>
  </w:style>
  <w:style w:type="paragraph" w:styleId="a5">
    <w:name w:val="List Paragraph"/>
    <w:basedOn w:val="a"/>
    <w:uiPriority w:val="99"/>
    <w:qFormat/>
    <w:rsid w:val="00EB4AAD"/>
    <w:pPr>
      <w:ind w:left="720"/>
      <w:contextualSpacing/>
    </w:pPr>
    <w:rPr>
      <w:rFonts w:eastAsiaTheme="minorHAnsi"/>
      <w:lang w:val="ru-RU" w:eastAsia="en-US"/>
    </w:rPr>
  </w:style>
  <w:style w:type="paragraph" w:styleId="HTML0">
    <w:name w:val="HTML Preformatted"/>
    <w:basedOn w:val="a"/>
    <w:link w:val="HTML1"/>
    <w:uiPriority w:val="99"/>
    <w:semiHidden/>
    <w:rsid w:val="00BC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C247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uiPriority w:val="99"/>
    <w:rsid w:val="00B878AD"/>
  </w:style>
  <w:style w:type="table" w:styleId="a3">
    <w:name w:val="Table Grid"/>
    <w:basedOn w:val="a1"/>
    <w:uiPriority w:val="59"/>
    <w:rsid w:val="00B878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B4AAD"/>
  </w:style>
  <w:style w:type="character" w:customStyle="1" w:styleId="apple-converted-space">
    <w:name w:val="apple-converted-space"/>
    <w:basedOn w:val="a0"/>
    <w:uiPriority w:val="99"/>
    <w:rsid w:val="00EB4AAD"/>
  </w:style>
  <w:style w:type="character" w:styleId="HTML">
    <w:name w:val="HTML Cite"/>
    <w:basedOn w:val="a0"/>
    <w:uiPriority w:val="99"/>
    <w:semiHidden/>
    <w:unhideWhenUsed/>
    <w:rsid w:val="00EB4AAD"/>
    <w:rPr>
      <w:i/>
      <w:iCs/>
    </w:rPr>
  </w:style>
  <w:style w:type="character" w:customStyle="1" w:styleId="cit-source">
    <w:name w:val="cit-source"/>
    <w:basedOn w:val="a0"/>
    <w:uiPriority w:val="99"/>
    <w:rsid w:val="00EB4AAD"/>
  </w:style>
  <w:style w:type="character" w:styleId="a4">
    <w:name w:val="Emphasis"/>
    <w:basedOn w:val="a0"/>
    <w:uiPriority w:val="99"/>
    <w:qFormat/>
    <w:rsid w:val="00EB4AAD"/>
    <w:rPr>
      <w:i/>
      <w:iCs/>
    </w:rPr>
  </w:style>
  <w:style w:type="character" w:customStyle="1" w:styleId="cit-pub-date">
    <w:name w:val="cit-pub-date"/>
    <w:basedOn w:val="a0"/>
    <w:uiPriority w:val="99"/>
    <w:rsid w:val="00EB4AAD"/>
  </w:style>
  <w:style w:type="character" w:customStyle="1" w:styleId="cit-vol">
    <w:name w:val="cit-vol"/>
    <w:basedOn w:val="a0"/>
    <w:uiPriority w:val="99"/>
    <w:rsid w:val="00EB4AAD"/>
  </w:style>
  <w:style w:type="character" w:customStyle="1" w:styleId="cit-fpage">
    <w:name w:val="cit-fpage"/>
    <w:basedOn w:val="a0"/>
    <w:uiPriority w:val="99"/>
    <w:rsid w:val="00EB4AAD"/>
  </w:style>
  <w:style w:type="paragraph" w:styleId="a5">
    <w:name w:val="List Paragraph"/>
    <w:basedOn w:val="a"/>
    <w:uiPriority w:val="99"/>
    <w:qFormat/>
    <w:rsid w:val="00EB4AAD"/>
    <w:pPr>
      <w:ind w:left="720"/>
      <w:contextualSpacing/>
    </w:pPr>
    <w:rPr>
      <w:rFonts w:eastAsiaTheme="minorHAnsi"/>
      <w:lang w:val="ru-RU" w:eastAsia="en-US"/>
    </w:rPr>
  </w:style>
  <w:style w:type="paragraph" w:styleId="HTML0">
    <w:name w:val="HTML Preformatted"/>
    <w:basedOn w:val="a"/>
    <w:link w:val="HTML1"/>
    <w:uiPriority w:val="99"/>
    <w:semiHidden/>
    <w:rsid w:val="00BC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C247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user838383892</cp:lastModifiedBy>
  <cp:revision>3</cp:revision>
  <cp:lastPrinted>2016-03-17T12:09:00Z</cp:lastPrinted>
  <dcterms:created xsi:type="dcterms:W3CDTF">2016-06-07T09:32:00Z</dcterms:created>
  <dcterms:modified xsi:type="dcterms:W3CDTF">2016-09-27T07:43:00Z</dcterms:modified>
</cp:coreProperties>
</file>