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D7" w:rsidRPr="00EB3F85" w:rsidRDefault="009B59F9" w:rsidP="00EB3F85">
      <w:pPr>
        <w:pStyle w:val="a9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>UDC</w:t>
      </w:r>
      <w:proofErr w:type="gramStart"/>
      <w:r w:rsidRPr="00EB3F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E15D7" w:rsidRPr="00EB3F85">
        <w:rPr>
          <w:rFonts w:ascii="Times New Roman" w:hAnsi="Times New Roman" w:cs="Times New Roman"/>
          <w:sz w:val="28"/>
          <w:szCs w:val="28"/>
          <w:lang w:val="en-US"/>
        </w:rPr>
        <w:t>616.13</w:t>
      </w:r>
      <w:proofErr w:type="gramEnd"/>
      <w:r w:rsidR="008E15D7" w:rsidRPr="00EB3F85">
        <w:rPr>
          <w:rFonts w:ascii="Times New Roman" w:hAnsi="Times New Roman" w:cs="Times New Roman"/>
          <w:sz w:val="28"/>
          <w:szCs w:val="28"/>
          <w:lang w:val="en-US"/>
        </w:rPr>
        <w:t>-089 611.132.1 617.5-089.844</w:t>
      </w:r>
      <w:r w:rsidR="008E15D7" w:rsidRPr="00EB3F85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101CEE" w:rsidRPr="00EB3F85" w:rsidRDefault="00101CEE" w:rsidP="00EB3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THE EXPERIENCE OF SUBAORTIC OBSTRUCTION REPAIR CONCOMITANTLY WITH TOTAL CAVOPULMONARY CONNECTION</w:t>
      </w:r>
    </w:p>
    <w:p w:rsidR="00101CEE" w:rsidRPr="00EB3F85" w:rsidRDefault="00101CEE" w:rsidP="00EB3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E. Bairamov</w:t>
      </w:r>
      <w:r w:rsidRPr="00EB3F8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, Y.Poznyak</w:t>
      </w:r>
      <w:r w:rsidRPr="00EB3F8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, O. Romanyuk</w:t>
      </w:r>
      <w:r w:rsidRPr="00EB3F8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proofErr w:type="gramStart"/>
      <w:r w:rsidRPr="00EB3F8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,2</w:t>
      </w:r>
      <w:proofErr w:type="gramEnd"/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, O. Stogova</w:t>
      </w:r>
      <w:r w:rsidRPr="00EB3F8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</w:p>
    <w:p w:rsidR="00101CEE" w:rsidRPr="00EB3F85" w:rsidRDefault="00101CEE" w:rsidP="00EB3F85">
      <w:pPr>
        <w:tabs>
          <w:tab w:val="left" w:pos="708"/>
        </w:tabs>
        <w:spacing w:after="0" w:line="36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Ukrainian Children’s Cardiac Center</w:t>
      </w:r>
      <w:r w:rsidRPr="00EB3F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Kyiv</w:t>
      </w:r>
    </w:p>
    <w:p w:rsidR="009B59F9" w:rsidRPr="00EB3F85" w:rsidRDefault="009B59F9" w:rsidP="00EB3F8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EB3F85">
        <w:rPr>
          <w:rFonts w:ascii="Times New Roman" w:hAnsi="Times New Roman" w:cs="Times New Roman"/>
          <w:b/>
          <w:i/>
          <w:sz w:val="28"/>
          <w:szCs w:val="28"/>
          <w:lang w:val="en-US"/>
        </w:rPr>
        <w:t>Shupyk National Medical Academy of Postgraduate Education, Kyiv</w:t>
      </w:r>
    </w:p>
    <w:p w:rsidR="0030386C" w:rsidRPr="00EB3F85" w:rsidRDefault="0030386C" w:rsidP="00EB3F85">
      <w:pPr>
        <w:tabs>
          <w:tab w:val="left" w:pos="708"/>
        </w:tabs>
        <w:spacing w:after="0" w:line="360" w:lineRule="auto"/>
        <w:ind w:firstLine="4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A21" w:rsidRPr="00EB3F85" w:rsidRDefault="007F2A21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Systemic ventricle outflow tract obstruction (SVOTO) in single ventricle patients could result in unfavorable hemodynamic conditions that might worsen the prognosis of patients with total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cavopulmonary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connection (TCPC).</w:t>
      </w:r>
    </w:p>
    <w:p w:rsidR="007F2A21" w:rsidRPr="00EB3F85" w:rsidRDefault="007F2A21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From 2005 to 2015, 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consecutive children with variable single ventricle pathologies underwent TCPC procedure, 10, 8% (n=10) of which was presented with SVOTO. We used two main options for surgical relief of SVOTO: the first consisted in ventricular septal defect enlargement, the second one - in modified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Damus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>-Kaye-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Stansel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procedure (DKS). The patients was divided into three main groups: </w:t>
      </w:r>
      <w:r w:rsidR="009F29C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roup 1 - 82 (89.1%) patients who underwent TCPC without performing any procedure on SVOT; </w:t>
      </w:r>
      <w:r w:rsidR="009F29C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roup 2 - 6 (6.4%) in which the patients treated with </w:t>
      </w:r>
      <w:proofErr w:type="gramStart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TCPC simultaneously with modified DKS procedure (double-barrel); </w:t>
      </w:r>
      <w:r w:rsidR="002644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roup 3 - 4 (4.4%) patients who underwent the restrictive VSD resection at the moment of TCPC.</w:t>
      </w:r>
      <w:proofErr w:type="gramEnd"/>
      <w:r w:rsidR="00314F1E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There was 1(1, 2%) early death in the control group and no mortality in study groups throughout the study period. Two patients in study groups underwent a permanent pacemaker implantation. The SVOT gradient decreased from 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17 ± 5, 82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mm Hg preoperatively to 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8 ± 4,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mm Hg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after the procedure. </w:t>
      </w:r>
    </w:p>
    <w:p w:rsidR="005C36B7" w:rsidRPr="00EB3F85" w:rsidRDefault="007F2A21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Our results indicate that the SVOTO relief at the concomitantly with TCPC does not cause significant increase in morbidity and mortality at early postoperative period.  The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suggest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that the DKS is the method of choice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regard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avoidance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heart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block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adequate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removal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SVOTO.</w:t>
      </w:r>
    </w:p>
    <w:p w:rsidR="00B27C28" w:rsidRPr="00EB3F85" w:rsidRDefault="00B27C28" w:rsidP="00EB3F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EB3F85">
        <w:rPr>
          <w:rFonts w:ascii="Times New Roman" w:hAnsi="Times New Roman" w:cs="Times New Roman"/>
          <w:b/>
          <w:i/>
          <w:sz w:val="28"/>
          <w:szCs w:val="28"/>
          <w:lang w:val="en-GB"/>
        </w:rPr>
        <w:t>Keywords:</w:t>
      </w:r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total </w:t>
      </w:r>
      <w:proofErr w:type="spellStart"/>
      <w:r w:rsidRPr="00EB3F85">
        <w:rPr>
          <w:rFonts w:ascii="Times New Roman" w:hAnsi="Times New Roman" w:cs="Times New Roman"/>
          <w:i/>
          <w:sz w:val="28"/>
          <w:szCs w:val="28"/>
          <w:lang w:val="en-US"/>
        </w:rPr>
        <w:t>cavopulmonary</w:t>
      </w:r>
      <w:proofErr w:type="spellEnd"/>
      <w:r w:rsidRPr="00EB3F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 xml:space="preserve">connection, </w:t>
      </w:r>
      <w:proofErr w:type="spellStart"/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>subaortic</w:t>
      </w:r>
      <w:proofErr w:type="spellEnd"/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obstruction, single ventricle, the </w:t>
      </w:r>
      <w:proofErr w:type="spellStart"/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>Damus</w:t>
      </w:r>
      <w:proofErr w:type="spellEnd"/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>-Kaye-</w:t>
      </w:r>
      <w:proofErr w:type="spellStart"/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>Stansel</w:t>
      </w:r>
      <w:proofErr w:type="spellEnd"/>
      <w:r w:rsidRPr="00EB3F8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procedure.</w:t>
      </w:r>
    </w:p>
    <w:p w:rsidR="008E15D7" w:rsidRPr="00EB3F85" w:rsidRDefault="00B27C28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Given the impending negative effects of SVOTO on hemodynamic conditions and future outcome </w:t>
      </w:r>
      <w:r w:rsidR="007F2A21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of patients with SV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it may</w:t>
      </w:r>
      <w:r w:rsidR="00246E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poses a serious problem and is particularly important in patients with SV hemodynamic. Elevated systemic ventricle afterload leads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to a</w:t>
      </w:r>
      <w:r w:rsidR="00246E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F5" w:rsidRPr="00EB3F85">
        <w:rPr>
          <w:rFonts w:ascii="Times New Roman" w:hAnsi="Times New Roman" w:cs="Times New Roman"/>
          <w:sz w:val="28"/>
          <w:szCs w:val="28"/>
          <w:lang w:val="en-US"/>
        </w:rPr>
        <w:t>ventricular hypertrophy and</w:t>
      </w:r>
      <w:r w:rsidR="00246E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F5" w:rsidRPr="00EB3F85">
        <w:rPr>
          <w:rFonts w:ascii="Times New Roman" w:hAnsi="Times New Roman" w:cs="Times New Roman"/>
          <w:sz w:val="28"/>
          <w:szCs w:val="28"/>
          <w:lang w:val="en-US"/>
        </w:rPr>
        <w:t>to increase</w:t>
      </w:r>
      <w:r w:rsidR="00246E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4B9F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46EC0" w:rsidRPr="00EB3F85">
        <w:rPr>
          <w:rFonts w:ascii="Times New Roman" w:hAnsi="Times New Roman" w:cs="Times New Roman"/>
          <w:sz w:val="28"/>
          <w:szCs w:val="28"/>
          <w:lang w:val="en-US"/>
        </w:rPr>
        <w:t>left atrial pressure that creates additional resistance to pulmonary blood flow [1].</w:t>
      </w:r>
    </w:p>
    <w:p w:rsidR="00246EC0" w:rsidRPr="00EB3F85" w:rsidRDefault="00246EC0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Even a </w:t>
      </w:r>
      <w:r w:rsidR="00B207F5" w:rsidRPr="00EB3F85">
        <w:rPr>
          <w:rFonts w:ascii="Times New Roman" w:hAnsi="Times New Roman" w:cs="Times New Roman"/>
          <w:sz w:val="28"/>
          <w:szCs w:val="28"/>
          <w:lang w:val="en-US"/>
        </w:rPr>
        <w:t>mild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SVOTO leads to rapid decompensation</w:t>
      </w:r>
      <w:r w:rsidR="00B27C28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and reduce</w:t>
      </w:r>
      <w:r w:rsidR="00EB4B9F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contractility of the </w:t>
      </w:r>
      <w:r w:rsidR="00B207F5" w:rsidRPr="00EB3F85">
        <w:rPr>
          <w:rFonts w:ascii="Times New Roman" w:hAnsi="Times New Roman" w:cs="Times New Roman"/>
          <w:sz w:val="28"/>
          <w:szCs w:val="28"/>
          <w:lang w:val="en-US"/>
        </w:rPr>
        <w:t>SV and subsequently produce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7F5" w:rsidRPr="00EB3F85">
        <w:rPr>
          <w:rFonts w:ascii="Times New Roman" w:hAnsi="Times New Roman" w:cs="Times New Roman"/>
          <w:sz w:val="28"/>
          <w:szCs w:val="28"/>
          <w:lang w:val="en-US"/>
        </w:rPr>
        <w:t>some kinds of rhythm disturbances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[2]. Therefore</w:t>
      </w:r>
      <w:r w:rsidR="00B207F5" w:rsidRPr="00EB3F85">
        <w:rPr>
          <w:rFonts w:ascii="Times New Roman" w:hAnsi="Times New Roman" w:cs="Times New Roman"/>
          <w:sz w:val="28"/>
          <w:szCs w:val="28"/>
          <w:lang w:val="en-US"/>
        </w:rPr>
        <w:t>, SVOTO in patients with SV creates adverse hemodynamic conditions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B4B9F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thereby worsen</w:t>
      </w:r>
      <w:r w:rsidR="00EB4B9F" w:rsidRPr="00EB3F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the prognosis </w:t>
      </w:r>
      <w:r w:rsidR="00EB4B9F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of patient with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TCPC.</w:t>
      </w:r>
    </w:p>
    <w:p w:rsidR="00633CD2" w:rsidRPr="00EB3F85" w:rsidRDefault="00633CD2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 SVOTO in SV patients may occur as a primary </w:t>
      </w:r>
      <w:r w:rsidR="00B27C28" w:rsidRPr="00EB3F85">
        <w:rPr>
          <w:rFonts w:ascii="Times New Roman" w:hAnsi="Times New Roman" w:cs="Times New Roman"/>
          <w:sz w:val="28"/>
          <w:szCs w:val="28"/>
          <w:lang w:val="en-US"/>
        </w:rPr>
        <w:t>lesion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, but more often it has seen after the pulmonary artery banding (PAB) [3]. </w:t>
      </w:r>
      <w:r w:rsidR="00DA4237" w:rsidRPr="00EB3F85">
        <w:rPr>
          <w:rFonts w:ascii="Times New Roman" w:hAnsi="Times New Roman" w:cs="Times New Roman"/>
          <w:sz w:val="28"/>
          <w:szCs w:val="28"/>
          <w:lang w:val="en-US"/>
        </w:rPr>
        <w:t>PAB produces myocardial hypertrophy with resultant decrease in VSD/</w:t>
      </w:r>
      <w:proofErr w:type="spellStart"/>
      <w:r w:rsidR="00DA4237" w:rsidRPr="00EB3F85">
        <w:rPr>
          <w:rFonts w:ascii="Times New Roman" w:hAnsi="Times New Roman" w:cs="Times New Roman"/>
          <w:sz w:val="28"/>
          <w:szCs w:val="28"/>
          <w:lang w:val="en-US"/>
        </w:rPr>
        <w:t>bulboventricular</w:t>
      </w:r>
      <w:proofErr w:type="spellEnd"/>
      <w:r w:rsidR="00DA4237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foramen size.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Limitations of pulmonary b</w:t>
      </w:r>
      <w:r w:rsidR="005B70D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lood flow decrease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the systemic ventricle linear dimensions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further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decrease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VSD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bulboventricular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foramen</w:t>
      </w:r>
      <w:r w:rsidR="009B445E">
        <w:rPr>
          <w:rFonts w:ascii="Times New Roman" w:hAnsi="Times New Roman" w:cs="Times New Roman"/>
          <w:sz w:val="28"/>
          <w:szCs w:val="28"/>
          <w:lang w:val="en-US"/>
        </w:rPr>
        <w:t xml:space="preserve"> (BVF)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accelerate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rate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SVOTO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5B70D2" w:rsidRPr="00EB3F85">
        <w:rPr>
          <w:rFonts w:ascii="Times New Roman" w:hAnsi="Times New Roman" w:cs="Times New Roman"/>
          <w:sz w:val="28"/>
          <w:szCs w:val="28"/>
          <w:lang w:val="en-US"/>
        </w:rPr>
        <w:t>. And subsequently the risk of SVOTO might appear late after</w:t>
      </w:r>
      <w:r w:rsidR="005B70D2"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70D2" w:rsidRPr="00EB3F85">
        <w:rPr>
          <w:rFonts w:ascii="Times New Roman" w:hAnsi="Times New Roman" w:cs="Times New Roman"/>
          <w:sz w:val="28"/>
          <w:szCs w:val="28"/>
          <w:lang w:val="en-US"/>
        </w:rPr>
        <w:t>TCPC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, especially in the presence of morphological substrate [2</w:t>
      </w:r>
      <w:proofErr w:type="gramStart"/>
      <w:r w:rsidRPr="00EB3F85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EB3F85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CD64C5" w:rsidRPr="00EB3F85" w:rsidRDefault="00CD64C5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Therefore, besides the classic selection criteria, we must consider the 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>obstruction factors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and if available to take effective measures to eliminate it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[1</w:t>
      </w:r>
      <w:proofErr w:type="gramStart"/>
      <w:r w:rsidRPr="00EB3F85">
        <w:rPr>
          <w:rFonts w:ascii="Times New Roman" w:hAnsi="Times New Roman" w:cs="Times New Roman"/>
          <w:sz w:val="28"/>
          <w:szCs w:val="28"/>
          <w:lang w:val="en-US"/>
        </w:rPr>
        <w:t>,2,4</w:t>
      </w:r>
      <w:proofErr w:type="gramEnd"/>
      <w:r w:rsidRPr="00EB3F85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DA4237" w:rsidRPr="00EB3F85" w:rsidRDefault="004B4D43" w:rsidP="00EB3F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>re are several</w:t>
      </w:r>
      <w:r w:rsidR="00DA4237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single ventricle anomalies 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DA4237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associated with the presence of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morphologic substrate to cause SVOTO: it may be persistent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subaortic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conus, restrictive VSD / BVF, and abnormal attachment of chords (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subvalvar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structures) that cross the outflow tract.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br/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ystemic obstruction is more likely to develop in two distinct patient groups: (1) with double  inlet left ventricle (DILV) or tricuspid atresia (TA) with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ventriculoarterial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discordancy and (2) complex forms of double outlet right ventricle (complex DORV) [1, 2].</w:t>
      </w:r>
    </w:p>
    <w:p w:rsidR="00304F79" w:rsidRPr="00EB3F85" w:rsidRDefault="00304F79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Several options are available to </w:t>
      </w:r>
      <w:r w:rsidR="005B70D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surgical relief of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SVOTO. The</w:t>
      </w:r>
      <w:r w:rsidR="00CA4C4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first one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include t</w:t>
      </w:r>
      <w:r w:rsidR="00CA4C42" w:rsidRPr="00EB3F85">
        <w:rPr>
          <w:rFonts w:ascii="Times New Roman" w:hAnsi="Times New Roman" w:cs="Times New Roman"/>
          <w:sz w:val="28"/>
          <w:szCs w:val="28"/>
          <w:lang w:val="en-US"/>
        </w:rPr>
        <w:t>he VSD/</w:t>
      </w:r>
      <w:proofErr w:type="spellStart"/>
      <w:r w:rsidR="00CA4C42" w:rsidRPr="00EB3F85">
        <w:rPr>
          <w:rFonts w:ascii="Times New Roman" w:hAnsi="Times New Roman" w:cs="Times New Roman"/>
          <w:sz w:val="28"/>
          <w:szCs w:val="28"/>
          <w:lang w:val="en-US"/>
        </w:rPr>
        <w:t>bulboventricular</w:t>
      </w:r>
      <w:proofErr w:type="spellEnd"/>
      <w:r w:rsidR="00CA4C4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foramen enlargement - associated with a high </w:t>
      </w:r>
      <w:r w:rsidR="00CA4C42" w:rsidRPr="00EB3F85">
        <w:rPr>
          <w:rFonts w:ascii="Times New Roman" w:hAnsi="Times New Roman" w:cs="Times New Roman"/>
          <w:sz w:val="28"/>
          <w:szCs w:val="28"/>
          <w:lang w:val="en-US"/>
        </w:rPr>
        <w:lastRenderedPageBreak/>
        <w:t>risk of AV-block, and the second one - the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Damus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>-Kaye-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Stansel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operation (DKS), </w:t>
      </w:r>
      <w:r w:rsidR="00CA4C42" w:rsidRPr="00EB3F85">
        <w:rPr>
          <w:rFonts w:ascii="Times New Roman" w:hAnsi="Times New Roman" w:cs="Times New Roman"/>
          <w:sz w:val="28"/>
          <w:szCs w:val="28"/>
          <w:lang w:val="en-US"/>
        </w:rPr>
        <w:t>which consist of</w:t>
      </w:r>
      <w:r w:rsidR="00425844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creation an additional pathway into the aorta through the pulmonary valve.</w:t>
      </w:r>
    </w:p>
    <w:p w:rsidR="00425844" w:rsidRPr="00EB3F85" w:rsidRDefault="00425844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 DKS operation was originally described for the treatment of patients with </w:t>
      </w:r>
      <w:r w:rsidR="00002E0A" w:rsidRPr="00EB3F85">
        <w:rPr>
          <w:rFonts w:ascii="Times New Roman" w:hAnsi="Times New Roman" w:cs="Times New Roman"/>
          <w:sz w:val="28"/>
          <w:szCs w:val="28"/>
          <w:lang w:val="en-US"/>
        </w:rPr>
        <w:t>d-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transposition of the great arteries</w:t>
      </w:r>
      <w:r w:rsidR="00002E0A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and performed by anastomosing the arteries end-to-side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. Subsequently, there have been reports of successful 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>repair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of patients with SVOTO utilizing </w:t>
      </w:r>
      <w:r w:rsidR="00002E0A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modified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DKS operation</w:t>
      </w:r>
      <w:r w:rsidR="00002E0A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with great vessels anastomosed side-by-side, so called double barrel technique.</w:t>
      </w:r>
      <w:r w:rsidR="003C21A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 double barrel DKS is </w:t>
      </w:r>
      <w:r w:rsidR="003C21A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very effective in 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>minimizing</w:t>
      </w:r>
      <w:r w:rsidR="003C21A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SVOTO risk, with sustainable good semilunar valves function.</w:t>
      </w:r>
    </w:p>
    <w:p w:rsidR="00F74557" w:rsidRPr="00EB3F85" w:rsidRDefault="00F74557" w:rsidP="00EB3F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3F85">
        <w:rPr>
          <w:rFonts w:ascii="Times New Roman" w:hAnsi="Times New Roman" w:cs="Times New Roman"/>
          <w:b/>
          <w:sz w:val="28"/>
          <w:szCs w:val="28"/>
          <w:lang w:val="uk-UA"/>
        </w:rPr>
        <w:t>Materials</w:t>
      </w:r>
      <w:proofErr w:type="spellEnd"/>
      <w:r w:rsidRPr="00EB3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EB3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b/>
          <w:sz w:val="28"/>
          <w:szCs w:val="28"/>
          <w:lang w:val="uk-UA"/>
        </w:rPr>
        <w:t>methods</w:t>
      </w:r>
      <w:proofErr w:type="spellEnd"/>
    </w:p>
    <w:p w:rsidR="00125E7E" w:rsidRPr="00EB3F85" w:rsidRDefault="00125E7E" w:rsidP="00EB3F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>2005 to 2015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consecutive children with variable single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ventricle pathologies underwent 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CPC 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procedure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D5F9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UCCC. In 10 (10.8%) of them at the time of TCPC revealed the SVOTO.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Median age at the time of procedure was </w:t>
      </w:r>
      <w:r w:rsidR="006662C0" w:rsidRPr="00EB3F85">
        <w:rPr>
          <w:rFonts w:ascii="Times New Roman" w:hAnsi="Times New Roman" w:cs="Times New Roman"/>
          <w:sz w:val="28"/>
          <w:szCs w:val="28"/>
          <w:lang w:val="uk-UA"/>
        </w:rPr>
        <w:t>10</w:t>
      </w:r>
      <w:proofErr w:type="gramStart"/>
      <w:r w:rsidR="006662C0" w:rsidRPr="00EB3F85">
        <w:rPr>
          <w:rFonts w:ascii="Times New Roman" w:hAnsi="Times New Roman" w:cs="Times New Roman"/>
          <w:sz w:val="28"/>
          <w:szCs w:val="28"/>
          <w:lang w:val="uk-UA"/>
        </w:rPr>
        <w:t>,4</w:t>
      </w:r>
      <w:proofErr w:type="gramEnd"/>
      <w:r w:rsidR="006662C0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± 4,58 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months (range 3.8 months–28 years) and the median weight was </w:t>
      </w:r>
      <w:r w:rsidR="006662C0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24,3 ± 13,6 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kg (range </w:t>
      </w:r>
      <w:r w:rsidR="006662C0" w:rsidRPr="00EB3F85">
        <w:rPr>
          <w:rFonts w:ascii="Times New Roman" w:hAnsi="Times New Roman" w:cs="Times New Roman"/>
          <w:sz w:val="28"/>
          <w:szCs w:val="28"/>
          <w:lang w:val="uk-UA"/>
        </w:rPr>
        <w:t>19,8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662C0" w:rsidRPr="00EB3F85">
        <w:rPr>
          <w:rFonts w:ascii="Times New Roman" w:hAnsi="Times New Roman" w:cs="Times New Roman"/>
          <w:sz w:val="28"/>
          <w:szCs w:val="28"/>
          <w:lang w:val="uk-UA"/>
        </w:rPr>
        <w:t>33,3</w:t>
      </w:r>
      <w:r w:rsidR="006662C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kg). </w:t>
      </w:r>
    </w:p>
    <w:p w:rsidR="00F16F2E" w:rsidRPr="00EB3F85" w:rsidRDefault="00F16F2E" w:rsidP="00EB3F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To analyze the </w:t>
      </w:r>
      <w:r w:rsidR="007F2A21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results of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hemodynamic correction, patients were divided into 3 groups depending on method of eliminating systemic obstruction:</w:t>
      </w:r>
    </w:p>
    <w:p w:rsidR="00314F1E" w:rsidRPr="00EB3F85" w:rsidRDefault="00314F1E" w:rsidP="00EB3F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Group 1 - 82 (89.1%) patients who underwent TCPC without performing any procedure on SVOT; </w:t>
      </w:r>
    </w:p>
    <w:p w:rsidR="00314F1E" w:rsidRPr="00EB3F85" w:rsidRDefault="00314F1E" w:rsidP="00EB3F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Group 2 - 6 (6.4%) in which the patients treated with TCPC simultaneously with modified DKS procedure (double-barrel); </w:t>
      </w:r>
    </w:p>
    <w:p w:rsidR="006662C0" w:rsidRPr="00FF7FDC" w:rsidRDefault="00314F1E" w:rsidP="00EB3F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3F85">
        <w:rPr>
          <w:rFonts w:ascii="Times New Roman" w:hAnsi="Times New Roman" w:cs="Times New Roman"/>
          <w:sz w:val="28"/>
          <w:szCs w:val="28"/>
          <w:lang w:val="en-US"/>
        </w:rPr>
        <w:t>Group 3 - 4 (4.4%) patients who underwent the restrictive VSD resection at the moment of TCPC.</w:t>
      </w:r>
      <w:proofErr w:type="gramEnd"/>
    </w:p>
    <w:p w:rsidR="00A05284" w:rsidRPr="00EB3F85" w:rsidRDefault="00477169" w:rsidP="00EB3F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Tab</w:t>
      </w:r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15D7" w:rsidRPr="00EB3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8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701"/>
        <w:gridCol w:w="1559"/>
        <w:gridCol w:w="1701"/>
        <w:gridCol w:w="2410"/>
      </w:tblGrid>
      <w:tr w:rsidR="00A05284" w:rsidRPr="00742CC9" w:rsidTr="00EA4A27">
        <w:tc>
          <w:tcPr>
            <w:tcW w:w="1276" w:type="dxa"/>
          </w:tcPr>
          <w:p w:rsidR="00A05284" w:rsidRPr="00EB3F85" w:rsidRDefault="00F74557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="00462F9D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</w:p>
        </w:tc>
        <w:tc>
          <w:tcPr>
            <w:tcW w:w="1701" w:type="dxa"/>
          </w:tcPr>
          <w:p w:rsidR="00A05284" w:rsidRPr="00EB3F85" w:rsidRDefault="00F74557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B3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C671C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mon.)</w:t>
            </w:r>
          </w:p>
        </w:tc>
        <w:tc>
          <w:tcPr>
            <w:tcW w:w="1559" w:type="dxa"/>
          </w:tcPr>
          <w:p w:rsidR="00A05284" w:rsidRPr="00EB3F85" w:rsidRDefault="003C671C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Weight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(kg)</w:t>
            </w:r>
          </w:p>
        </w:tc>
        <w:tc>
          <w:tcPr>
            <w:tcW w:w="1701" w:type="dxa"/>
          </w:tcPr>
          <w:p w:rsidR="00A05284" w:rsidRPr="00EB3F85" w:rsidRDefault="00660132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CPB time</w:t>
            </w:r>
            <w:r w:rsidR="00462F9D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62F9D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410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0132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cross-clamp time 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62F9D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A05284" w:rsidRPr="00EB3F85" w:rsidTr="00EA4A27">
        <w:tc>
          <w:tcPr>
            <w:tcW w:w="1276" w:type="dxa"/>
          </w:tcPr>
          <w:p w:rsidR="00A05284" w:rsidRPr="00EB3F85" w:rsidRDefault="00462F9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128,8± 55,84</w:t>
            </w:r>
          </w:p>
        </w:tc>
        <w:tc>
          <w:tcPr>
            <w:tcW w:w="1559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33,3±14,62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92±48,45</w:t>
            </w:r>
          </w:p>
        </w:tc>
        <w:tc>
          <w:tcPr>
            <w:tcW w:w="2410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74,0±28,45</w:t>
            </w:r>
          </w:p>
        </w:tc>
      </w:tr>
      <w:tr w:rsidR="00A05284" w:rsidRPr="00EB3F85" w:rsidTr="00EA4A27">
        <w:tc>
          <w:tcPr>
            <w:tcW w:w="1276" w:type="dxa"/>
          </w:tcPr>
          <w:p w:rsidR="00A05284" w:rsidRPr="00EB3F85" w:rsidRDefault="00462F9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75,2± 50,53</w:t>
            </w:r>
          </w:p>
        </w:tc>
        <w:tc>
          <w:tcPr>
            <w:tcW w:w="1559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19,8±15,24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149,6±50,1</w:t>
            </w:r>
          </w:p>
        </w:tc>
        <w:tc>
          <w:tcPr>
            <w:tcW w:w="2410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77,2± 11,30</w:t>
            </w:r>
          </w:p>
        </w:tc>
      </w:tr>
      <w:tr w:rsidR="00A05284" w:rsidRPr="00EB3F85" w:rsidTr="008E15D7">
        <w:trPr>
          <w:trHeight w:val="281"/>
        </w:trPr>
        <w:tc>
          <w:tcPr>
            <w:tcW w:w="1276" w:type="dxa"/>
          </w:tcPr>
          <w:p w:rsidR="00A05284" w:rsidRPr="00EB3F85" w:rsidRDefault="00462F9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104,5±49,9</w:t>
            </w:r>
          </w:p>
        </w:tc>
        <w:tc>
          <w:tcPr>
            <w:tcW w:w="1559" w:type="dxa"/>
          </w:tcPr>
          <w:p w:rsidR="00A05284" w:rsidRPr="00EB3F85" w:rsidRDefault="00362720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22,1±10,8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160,0± 46,03</w:t>
            </w:r>
          </w:p>
        </w:tc>
        <w:tc>
          <w:tcPr>
            <w:tcW w:w="2410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65,0± 25,01</w:t>
            </w:r>
          </w:p>
        </w:tc>
      </w:tr>
    </w:tbl>
    <w:p w:rsidR="007F2A21" w:rsidRPr="00EB3F85" w:rsidRDefault="00F16F2E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Below are 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="007F2A21" w:rsidRPr="00EB3F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the anatomical characteristics</w:t>
      </w:r>
      <w:r w:rsidR="007F2A21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of children with single ventricle who underwent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SVOTO repair</w:t>
      </w:r>
      <w:r w:rsidR="007F2A21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concomitant 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2A21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CPC at our institution: </w:t>
      </w:r>
    </w:p>
    <w:p w:rsidR="007F2A21" w:rsidRDefault="007F2A21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>DILV – 6 patients;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0B3D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corrected transposition of the great 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 xml:space="preserve">arteries (CC-TGA) with </w:t>
      </w:r>
      <w:r w:rsidR="00EB26D2" w:rsidRPr="00EB26D2"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r w:rsidR="00EB26D2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0B3D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tricuspid valve atresia (TA) 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E0B3D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>1; m</w:t>
      </w:r>
      <w:r w:rsidR="00EE0B3D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itral valve atresia (MA) - 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E0B3D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, a complex form of double outlet right ventricle (complex DORV) remote 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>VSD</w:t>
      </w:r>
      <w:r w:rsidR="00EE0B3D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E0B3D"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0B3D">
        <w:rPr>
          <w:rFonts w:ascii="Times New Roman" w:hAnsi="Times New Roman" w:cs="Times New Roman"/>
          <w:sz w:val="28"/>
          <w:szCs w:val="28"/>
          <w:lang w:val="en-US"/>
        </w:rPr>
        <w:t>1 patient.</w:t>
      </w:r>
    </w:p>
    <w:p w:rsidR="00EE0B3D" w:rsidRPr="00EB3F85" w:rsidRDefault="00EE0B3D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0B3D">
        <w:rPr>
          <w:rFonts w:ascii="Times New Roman" w:hAnsi="Times New Roman" w:cs="Times New Roman"/>
          <w:sz w:val="28"/>
          <w:szCs w:val="28"/>
          <w:lang w:val="en-US"/>
        </w:rPr>
        <w:t>Among patients who enforced the removal of CO, prior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palliative procedures include banding</w:t>
      </w:r>
      <w:r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of the pulmonary artery - in 9 cases, systemic-pulmonary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anastomosis - 1, bidirectional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0B3D">
        <w:rPr>
          <w:rFonts w:ascii="Times New Roman" w:hAnsi="Times New Roman" w:cs="Times New Roman"/>
          <w:sz w:val="28"/>
          <w:szCs w:val="28"/>
          <w:lang w:val="en-US"/>
        </w:rPr>
        <w:t>avopulmona</w:t>
      </w:r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proofErr w:type="spellEnd"/>
      <w:r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anastomosis Glenn (BDCPA) - 10, the  </w:t>
      </w:r>
      <w:proofErr w:type="spellStart"/>
      <w:r w:rsidRPr="00EE0B3D">
        <w:rPr>
          <w:rFonts w:ascii="Times New Roman" w:hAnsi="Times New Roman" w:cs="Times New Roman"/>
          <w:sz w:val="28"/>
          <w:szCs w:val="28"/>
          <w:lang w:val="en-US"/>
        </w:rPr>
        <w:t>coarctation</w:t>
      </w:r>
      <w:proofErr w:type="spellEnd"/>
      <w:r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of the aorta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repair</w:t>
      </w:r>
      <w:r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- 2,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rebanding</w:t>
      </w:r>
      <w:proofErr w:type="spellEnd"/>
      <w:r w:rsidRPr="00EE0B3D">
        <w:rPr>
          <w:rFonts w:ascii="Times New Roman" w:hAnsi="Times New Roman" w:cs="Times New Roman"/>
          <w:sz w:val="28"/>
          <w:szCs w:val="28"/>
          <w:lang w:val="en-US"/>
        </w:rPr>
        <w:t xml:space="preserve"> pulmonary artery (re PAB) - in the 4 pulmonary valve function in this case was not broken. Data catheterization of heart cavities are presented in </w:t>
      </w:r>
      <w:r w:rsidR="00487B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E0B3D">
        <w:rPr>
          <w:rFonts w:ascii="Times New Roman" w:hAnsi="Times New Roman" w:cs="Times New Roman"/>
          <w:sz w:val="28"/>
          <w:szCs w:val="28"/>
          <w:lang w:val="en-US"/>
        </w:rPr>
        <w:t>able 2 (averages).</w:t>
      </w:r>
    </w:p>
    <w:p w:rsidR="00A05284" w:rsidRPr="00EB3F85" w:rsidRDefault="00330FBA" w:rsidP="00EB3F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Tab</w:t>
      </w:r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catheterization data</w:t>
      </w:r>
    </w:p>
    <w:tbl>
      <w:tblPr>
        <w:tblStyle w:val="a8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701"/>
        <w:gridCol w:w="2410"/>
        <w:gridCol w:w="2268"/>
      </w:tblGrid>
      <w:tr w:rsidR="00A05284" w:rsidRPr="00742CC9" w:rsidTr="00660132">
        <w:tc>
          <w:tcPr>
            <w:tcW w:w="1276" w:type="dxa"/>
          </w:tcPr>
          <w:p w:rsidR="00A05284" w:rsidRPr="00EB3F85" w:rsidRDefault="00BF3AA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</w:p>
        </w:tc>
        <w:tc>
          <w:tcPr>
            <w:tcW w:w="1701" w:type="dxa"/>
          </w:tcPr>
          <w:p w:rsidR="00A05284" w:rsidRPr="00EB3F85" w:rsidRDefault="00660132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 p</w:t>
            </w:r>
            <w:proofErr w:type="spellStart"/>
            <w:r w:rsidR="00BF3AAB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ressure</w:t>
            </w:r>
            <w:proofErr w:type="spellEnd"/>
            <w:r w:rsidR="00BF3AAB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F3AAB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 Hg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A05284" w:rsidRPr="00EB3F85" w:rsidRDefault="00BF3AA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Pulmonary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vascular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resistance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60132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A05284" w:rsidRPr="00EB3F85" w:rsidRDefault="00660132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 e</w:t>
            </w:r>
            <w:proofErr w:type="spellStart"/>
            <w:r w:rsidR="003111CA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nd-diastolic</w:t>
            </w:r>
            <w:proofErr w:type="spellEnd"/>
            <w:r w:rsidR="003111CA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11CA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pressure</w:t>
            </w:r>
            <w:proofErr w:type="spellEnd"/>
            <w:r w:rsidR="003111CA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F3AAB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 w:rsidR="00BF3AAB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3AAB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05284" w:rsidRPr="00EB3F85" w:rsidTr="00660132">
        <w:tc>
          <w:tcPr>
            <w:tcW w:w="1276" w:type="dxa"/>
          </w:tcPr>
          <w:p w:rsidR="00A05284" w:rsidRPr="00EB3F85" w:rsidRDefault="00BF3AA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17±5,21</w:t>
            </w:r>
          </w:p>
        </w:tc>
        <w:tc>
          <w:tcPr>
            <w:tcW w:w="2410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1,9±0,92</w:t>
            </w:r>
          </w:p>
        </w:tc>
        <w:tc>
          <w:tcPr>
            <w:tcW w:w="2268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17±5,14</w:t>
            </w:r>
          </w:p>
        </w:tc>
      </w:tr>
      <w:tr w:rsidR="00A05284" w:rsidRPr="00EB3F85" w:rsidTr="00660132">
        <w:tc>
          <w:tcPr>
            <w:tcW w:w="1276" w:type="dxa"/>
          </w:tcPr>
          <w:p w:rsidR="00A05284" w:rsidRPr="00EB3F85" w:rsidRDefault="00BF3AA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18±4,42</w:t>
            </w:r>
          </w:p>
        </w:tc>
        <w:tc>
          <w:tcPr>
            <w:tcW w:w="2410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2,1±0,73</w:t>
            </w:r>
          </w:p>
        </w:tc>
        <w:tc>
          <w:tcPr>
            <w:tcW w:w="2268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16±4,12</w:t>
            </w:r>
          </w:p>
        </w:tc>
      </w:tr>
      <w:tr w:rsidR="00A05284" w:rsidRPr="00EB3F85" w:rsidTr="00660132">
        <w:tc>
          <w:tcPr>
            <w:tcW w:w="1276" w:type="dxa"/>
          </w:tcPr>
          <w:p w:rsidR="00A05284" w:rsidRPr="00EB3F85" w:rsidRDefault="00BF3AA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="00A05284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567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14±3,32</w:t>
            </w:r>
          </w:p>
        </w:tc>
        <w:tc>
          <w:tcPr>
            <w:tcW w:w="2410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1,0±0,65</w:t>
            </w:r>
          </w:p>
        </w:tc>
        <w:tc>
          <w:tcPr>
            <w:tcW w:w="2268" w:type="dxa"/>
          </w:tcPr>
          <w:p w:rsidR="00A05284" w:rsidRPr="00EB3F85" w:rsidRDefault="00A05284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15±3,21</w:t>
            </w:r>
          </w:p>
        </w:tc>
      </w:tr>
    </w:tbl>
    <w:p w:rsidR="008244EE" w:rsidRPr="00EB3F85" w:rsidRDefault="008244EE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A21" w:rsidRPr="00EB3F85" w:rsidRDefault="007F2A21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Indications for surgical repair of SVOTO was the presence of the pressure gradient between the SV and ascending aorta (&gt; 10mmHg), the presence of anatomical substrate for the development of SVOTO (above mentioned anatomical diagnoses) and reducing </w:t>
      </w:r>
      <w:proofErr w:type="spellStart"/>
      <w:r w:rsidR="008C5F32" w:rsidRPr="00EB3F85">
        <w:rPr>
          <w:rFonts w:ascii="Times New Roman" w:hAnsi="Times New Roman" w:cs="Times New Roman"/>
          <w:sz w:val="28"/>
          <w:szCs w:val="28"/>
          <w:lang w:val="en-US"/>
        </w:rPr>
        <w:t>bulboventricular</w:t>
      </w:r>
      <w:proofErr w:type="spellEnd"/>
      <w:r w:rsidR="008C5F3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foramen area index at time of initial presentation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(&lt;2sm2 / m2 or less than the diameter of the aortic valve ). The latter </w:t>
      </w:r>
      <w:r w:rsidR="008C5F32" w:rsidRPr="00EB3F85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is not always possible to exactly set due to the complexity of most forms of </w:t>
      </w:r>
      <w:r w:rsidR="008C5F32" w:rsidRPr="00EB3F85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. The degree of </w:t>
      </w:r>
      <w:r w:rsidR="008C5F32" w:rsidRPr="00EB3F85">
        <w:rPr>
          <w:rFonts w:ascii="Times New Roman" w:hAnsi="Times New Roman" w:cs="Times New Roman"/>
          <w:sz w:val="28"/>
          <w:szCs w:val="28"/>
          <w:lang w:val="en-US"/>
        </w:rPr>
        <w:t>SVOT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on preoperative stage was assessed by echocardiography (ECHO) and </w:t>
      </w:r>
      <w:r w:rsidR="008C5F3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by cardiac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catheterization (Cath) (Table 3).</w:t>
      </w:r>
    </w:p>
    <w:p w:rsidR="00314F1E" w:rsidRPr="00EB3F85" w:rsidRDefault="00314F1E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lastRenderedPageBreak/>
        <w:t>In first group, there was not carried out any surgical SVOTO relief procedure because at that time of TCPC the pressure gradient between the systemic ventricle and the aorta was absent.</w:t>
      </w:r>
    </w:p>
    <w:p w:rsidR="00314F1E" w:rsidRPr="00EB3F85" w:rsidRDefault="00314F1E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 TCPC was performed in its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extracardiac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modification to all of patients. There were implanted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extracardiac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conduit of polytetrafluoroethylene (Gore-Tex®), the diameter of which is chosen depending on the diameter of the inferior vena </w:t>
      </w:r>
      <w:proofErr w:type="gramStart"/>
      <w:r w:rsidRPr="00EB3F85">
        <w:rPr>
          <w:rFonts w:ascii="Times New Roman" w:hAnsi="Times New Roman" w:cs="Times New Roman"/>
          <w:sz w:val="28"/>
          <w:szCs w:val="28"/>
          <w:lang w:val="en-US"/>
        </w:rPr>
        <w:t>cava,</w:t>
      </w:r>
      <w:proofErr w:type="gram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patient body weight was between 18 to 22 mm.</w:t>
      </w:r>
    </w:p>
    <w:p w:rsidR="00125E7E" w:rsidRPr="00EB3F85" w:rsidRDefault="00125E7E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TCPC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performed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conventional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cardiopulmonary</w:t>
      </w:r>
      <w:proofErr w:type="spellEnd"/>
      <w:r w:rsidR="00314F1E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bypass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wi</w:t>
      </w:r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>th</w:t>
      </w:r>
      <w:proofErr w:type="spellEnd"/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>moderate</w:t>
      </w:r>
      <w:proofErr w:type="spellEnd"/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>hypothermia</w:t>
      </w:r>
      <w:proofErr w:type="spellEnd"/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°C).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Mean cardiopulmonary bypass and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ischaemic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times were </w:t>
      </w:r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>284 ± 6</w:t>
      </w:r>
      <w:proofErr w:type="gramStart"/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>,4</w:t>
      </w:r>
      <w:proofErr w:type="gramEnd"/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0A7B2D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75 ± 6,4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9B44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, respectively.</w:t>
      </w:r>
    </w:p>
    <w:p w:rsidR="009B59F9" w:rsidRPr="00EB3F85" w:rsidRDefault="009B59F9" w:rsidP="00EB3F8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3F85">
        <w:rPr>
          <w:rFonts w:ascii="Times New Roman" w:hAnsi="Times New Roman" w:cs="Times New Roman"/>
          <w:b/>
          <w:sz w:val="28"/>
          <w:szCs w:val="28"/>
          <w:lang w:val="uk-UA"/>
        </w:rPr>
        <w:t>Results</w:t>
      </w:r>
      <w:proofErr w:type="spellEnd"/>
    </w:p>
    <w:p w:rsidR="00F16F2E" w:rsidRPr="00EB3F85" w:rsidRDefault="00F16F2E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We assessed the short- and mid-term clinical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>(max 11</w:t>
      </w:r>
      <w:r w:rsidR="00E25C30" w:rsidRPr="00EB3F85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3, 03 mo.)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outcomes with a focus on the evolution of SVOT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en-US"/>
        </w:rPr>
        <w:t>haemodynamics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with time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4E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able 3)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2F0F" w:rsidRPr="00EB3F85" w:rsidRDefault="0097095D" w:rsidP="00EB3F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Tab</w:t>
      </w:r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evolution of SVOT </w:t>
      </w:r>
      <w:proofErr w:type="spellStart"/>
      <w:r w:rsidR="00630E9E" w:rsidRPr="00EB3F85">
        <w:rPr>
          <w:rFonts w:ascii="Times New Roman" w:hAnsi="Times New Roman" w:cs="Times New Roman"/>
          <w:b/>
          <w:sz w:val="28"/>
          <w:szCs w:val="28"/>
          <w:lang w:val="en-US"/>
        </w:rPr>
        <w:t>haemodynamics</w:t>
      </w:r>
      <w:proofErr w:type="spellEnd"/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984"/>
        <w:gridCol w:w="1560"/>
        <w:gridCol w:w="1701"/>
        <w:gridCol w:w="1559"/>
      </w:tblGrid>
      <w:tr w:rsidR="0097095D" w:rsidRPr="00742CC9" w:rsidTr="00E82549">
        <w:tc>
          <w:tcPr>
            <w:tcW w:w="1276" w:type="dxa"/>
          </w:tcPr>
          <w:p w:rsidR="0097095D" w:rsidRPr="00EB3F85" w:rsidRDefault="0097095D" w:rsidP="00EB3F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60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Δp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SVOT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</w:p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surgical treatment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(Cath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Δp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SVOT</w:t>
            </w:r>
          </w:p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surgical treatment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(ECHO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Δp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SVOT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immediately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after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surgical treatment</w:t>
            </w:r>
          </w:p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(ТЕЕ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60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Δp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SVOT</w:t>
            </w:r>
          </w:p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before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discharge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(ECHO3)</w:t>
            </w:r>
          </w:p>
        </w:tc>
        <w:tc>
          <w:tcPr>
            <w:tcW w:w="1701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Δp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SVOT</w:t>
            </w:r>
          </w:p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last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survey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(ECHO3)</w:t>
            </w:r>
          </w:p>
        </w:tc>
        <w:tc>
          <w:tcPr>
            <w:tcW w:w="1559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average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time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after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D6C7F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97095D" w:rsidRPr="00EB3F85" w:rsidTr="00E82549">
        <w:tc>
          <w:tcPr>
            <w:tcW w:w="1276" w:type="dxa"/>
          </w:tcPr>
          <w:p w:rsidR="0097095D" w:rsidRPr="00EB3F85" w:rsidRDefault="0097095D" w:rsidP="00EB3F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60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18±7,92</w:t>
            </w:r>
          </w:p>
        </w:tc>
        <w:tc>
          <w:tcPr>
            <w:tcW w:w="1559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±5,12</w:t>
            </w:r>
          </w:p>
        </w:tc>
        <w:tc>
          <w:tcPr>
            <w:tcW w:w="1984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 ±1,97</w:t>
            </w:r>
          </w:p>
        </w:tc>
        <w:tc>
          <w:tcPr>
            <w:tcW w:w="1560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9,16 ±1,72</w:t>
            </w:r>
          </w:p>
        </w:tc>
        <w:tc>
          <w:tcPr>
            <w:tcW w:w="1701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9,83 ±0,98</w:t>
            </w:r>
          </w:p>
        </w:tc>
        <w:tc>
          <w:tcPr>
            <w:tcW w:w="1559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±3,03</w:t>
            </w:r>
          </w:p>
        </w:tc>
      </w:tr>
      <w:tr w:rsidR="0097095D" w:rsidRPr="00EB3F85" w:rsidTr="00E82549">
        <w:tc>
          <w:tcPr>
            <w:tcW w:w="1276" w:type="dxa"/>
          </w:tcPr>
          <w:p w:rsidR="0097095D" w:rsidRPr="00EB3F85" w:rsidRDefault="0097095D" w:rsidP="00EB3F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1560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13±7,32</w:t>
            </w:r>
          </w:p>
        </w:tc>
        <w:tc>
          <w:tcPr>
            <w:tcW w:w="1559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11±4,57</w:t>
            </w:r>
          </w:p>
        </w:tc>
        <w:tc>
          <w:tcPr>
            <w:tcW w:w="1984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 ±0,57</w:t>
            </w:r>
          </w:p>
        </w:tc>
        <w:tc>
          <w:tcPr>
            <w:tcW w:w="1560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 ±0,58</w:t>
            </w:r>
          </w:p>
        </w:tc>
        <w:tc>
          <w:tcPr>
            <w:tcW w:w="1701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 ±2,51</w:t>
            </w:r>
          </w:p>
        </w:tc>
        <w:tc>
          <w:tcPr>
            <w:tcW w:w="1559" w:type="dxa"/>
          </w:tcPr>
          <w:p w:rsidR="0097095D" w:rsidRPr="00EB3F85" w:rsidRDefault="0097095D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±2,80</w:t>
            </w:r>
          </w:p>
        </w:tc>
      </w:tr>
    </w:tbl>
    <w:p w:rsidR="00C5417F" w:rsidRPr="00EB3F85" w:rsidRDefault="00C634CA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uk-UA"/>
        </w:rPr>
        <w:t>ΔpSVOT</w:t>
      </w:r>
      <w:r w:rsidRPr="00EB3F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the pressure gradient at </w:t>
      </w:r>
      <w:r w:rsidR="00284996" w:rsidRPr="00EB3F85">
        <w:rPr>
          <w:rFonts w:ascii="Times New Roman" w:hAnsi="Times New Roman" w:cs="Times New Roman"/>
          <w:sz w:val="28"/>
          <w:szCs w:val="28"/>
          <w:lang w:val="en-US"/>
        </w:rPr>
        <w:t>systemic ventricle outflow tract</w:t>
      </w:r>
      <w:r w:rsidR="009B445E">
        <w:rPr>
          <w:rFonts w:ascii="Times New Roman" w:hAnsi="Times New Roman" w:cs="Times New Roman"/>
          <w:sz w:val="28"/>
          <w:szCs w:val="28"/>
          <w:lang w:val="en-US"/>
        </w:rPr>
        <w:t>, mm Hg</w:t>
      </w:r>
      <w:r w:rsidR="00284996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; Cath</w:t>
      </w:r>
      <w:r w:rsidRPr="00EB3F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84996" w:rsidRPr="00EB3F85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="00284996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284996" w:rsidRPr="00EB3F85">
        <w:rPr>
          <w:rFonts w:ascii="Times New Roman" w:hAnsi="Times New Roman" w:cs="Times New Roman"/>
          <w:sz w:val="28"/>
          <w:szCs w:val="28"/>
          <w:lang w:val="uk-UA"/>
        </w:rPr>
        <w:t>catheterization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>; ECHO</w:t>
      </w:r>
      <w:r w:rsidRPr="00EB3F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4996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4996" w:rsidRPr="00EB3F85">
        <w:rPr>
          <w:rFonts w:ascii="Times New Roman" w:hAnsi="Times New Roman" w:cs="Times New Roman"/>
          <w:sz w:val="28"/>
          <w:szCs w:val="28"/>
          <w:lang w:val="uk-UA"/>
        </w:rPr>
        <w:t>echocardiography</w:t>
      </w:r>
      <w:proofErr w:type="spellEnd"/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>; ТЕЕ</w:t>
      </w:r>
      <w:r w:rsidRPr="00EB3F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84996" w:rsidRPr="00EB3F8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284996" w:rsidRPr="00EB3F85">
        <w:rPr>
          <w:rFonts w:ascii="Times New Roman" w:hAnsi="Times New Roman" w:cs="Times New Roman"/>
          <w:sz w:val="28"/>
          <w:szCs w:val="28"/>
          <w:lang w:val="uk-UA"/>
        </w:rPr>
        <w:t>ransesophageal</w:t>
      </w:r>
      <w:proofErr w:type="spellEnd"/>
      <w:r w:rsidR="00284996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996" w:rsidRPr="00EB3F85">
        <w:rPr>
          <w:rFonts w:ascii="Times New Roman" w:hAnsi="Times New Roman" w:cs="Times New Roman"/>
          <w:sz w:val="28"/>
          <w:szCs w:val="28"/>
          <w:lang w:val="uk-UA"/>
        </w:rPr>
        <w:t>echocardiography</w:t>
      </w:r>
      <w:proofErr w:type="spellEnd"/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</w:p>
    <w:p w:rsidR="00E82549" w:rsidRPr="00EB3F85" w:rsidRDefault="00E82549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5E7E" w:rsidRPr="00EB3F85" w:rsidRDefault="004A6DA8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period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here was one early death and no late death in group 1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1.2%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coagulopathy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acute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cerebrovascular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accident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There was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125E7E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early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late death in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>the 2</w:t>
      </w:r>
      <w:r w:rsidR="00E25C30" w:rsidRPr="00EB3F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and 3</w:t>
      </w:r>
      <w:r w:rsidR="00E25C30" w:rsidRPr="00EB3F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groups</w:t>
      </w:r>
      <w:r w:rsidR="00125E7E" w:rsidRPr="00EB3F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5E7E" w:rsidRPr="00EB3F85" w:rsidRDefault="00125E7E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>Two patients required permane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t>nt pacemaker insertion postoperatively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. One of them who un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derwent concomitant enlargement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CD4227">
        <w:rPr>
          <w:rFonts w:ascii="Times New Roman" w:hAnsi="Times New Roman" w:cs="Times New Roman"/>
          <w:sz w:val="28"/>
          <w:szCs w:val="28"/>
          <w:lang w:val="en-US"/>
        </w:rPr>
        <w:t>VSD/BVF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had immediate 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heart block while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the other patient developed </w:t>
      </w:r>
      <w:r w:rsidR="00880F0E" w:rsidRPr="00EB3F85">
        <w:rPr>
          <w:rFonts w:ascii="Times New Roman" w:hAnsi="Times New Roman" w:cs="Times New Roman"/>
          <w:sz w:val="28"/>
          <w:szCs w:val="28"/>
          <w:lang w:val="en-US"/>
        </w:rPr>
        <w:t>sinus node dysfunction following TCPC and DKS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F0E" w:rsidRPr="00EB3F85" w:rsidRDefault="00880F0E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No case of cerebrovascular accident was noted. One patient (16.7%) of </w:t>
      </w:r>
      <w:r w:rsidR="00660132" w:rsidRPr="00EB3F85">
        <w:rPr>
          <w:rFonts w:ascii="Times New Roman" w:hAnsi="Times New Roman" w:cs="Times New Roman"/>
          <w:sz w:val="28"/>
          <w:szCs w:val="28"/>
          <w:lang w:val="en-US"/>
        </w:rPr>
        <w:t>2nd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group postoperatively </w:t>
      </w:r>
      <w:r w:rsidR="00660132" w:rsidRPr="00EB3F85">
        <w:rPr>
          <w:rFonts w:ascii="Times New Roman" w:hAnsi="Times New Roman" w:cs="Times New Roman"/>
          <w:sz w:val="28"/>
          <w:szCs w:val="28"/>
          <w:lang w:val="en-US"/>
        </w:rPr>
        <w:t>develops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the phrenic nerve</w:t>
      </w:r>
      <w:r w:rsidR="0066013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paresis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. The patient was subsequently </w:t>
      </w:r>
      <w:r w:rsidR="0066013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underwent the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diaphragm</w:t>
      </w:r>
      <w:r w:rsidR="003E3EB4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plication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3EB4" w:rsidRPr="00EB3F85">
        <w:rPr>
          <w:rFonts w:ascii="Times New Roman" w:hAnsi="Times New Roman" w:cs="Times New Roman"/>
          <w:sz w:val="28"/>
          <w:szCs w:val="28"/>
          <w:lang w:val="en-US"/>
        </w:rPr>
        <w:t>One patients of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3rd group </w:t>
      </w:r>
      <w:r w:rsidR="003E3EB4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has prolonged pleural effusion of </w:t>
      </w:r>
      <w:proofErr w:type="spellStart"/>
      <w:r w:rsidR="003E3EB4" w:rsidRPr="00EB3F85">
        <w:rPr>
          <w:rFonts w:ascii="Times New Roman" w:hAnsi="Times New Roman" w:cs="Times New Roman"/>
          <w:sz w:val="28"/>
          <w:szCs w:val="28"/>
          <w:lang w:val="en-US"/>
        </w:rPr>
        <w:t>hilous</w:t>
      </w:r>
      <w:proofErr w:type="spellEnd"/>
      <w:r w:rsidR="003E3EB4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nature which eliminated conservatively.</w:t>
      </w:r>
    </w:p>
    <w:p w:rsidR="003E3EB4" w:rsidRPr="00EB3F85" w:rsidRDefault="003E3EB4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>We have founded that inotropic support for more than 72 hours require 14 (17%) patients in group 1, 3 (50%) patients in the second group and 1</w:t>
      </w:r>
      <w:r w:rsidR="0066013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(25%) patients - in the 3rd group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. All patients are extubated during the first 6 hours. The mean duration of pleural effusion, ICU stay and the length of stay in the hospital are shown in Table 4.</w:t>
      </w:r>
    </w:p>
    <w:p w:rsidR="00EE0D51" w:rsidRPr="00EB3F85" w:rsidRDefault="004A6DA8" w:rsidP="00EB3F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</w:t>
      </w:r>
      <w:r w:rsidR="00B62202" w:rsidRPr="00EB3F8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proofErr w:type="gramEnd"/>
      <w:r w:rsidR="00B62202" w:rsidRPr="00EB3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Postoperative data (mean)</w:t>
      </w:r>
    </w:p>
    <w:tbl>
      <w:tblPr>
        <w:tblStyle w:val="a8"/>
        <w:tblW w:w="99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3"/>
        <w:gridCol w:w="1809"/>
        <w:gridCol w:w="2052"/>
        <w:gridCol w:w="2200"/>
        <w:gridCol w:w="2127"/>
      </w:tblGrid>
      <w:tr w:rsidR="00A974CE" w:rsidRPr="00742CC9" w:rsidTr="004A6DA8">
        <w:tc>
          <w:tcPr>
            <w:tcW w:w="1277" w:type="dxa"/>
          </w:tcPr>
          <w:p w:rsidR="00A974CE" w:rsidRPr="00EB3F85" w:rsidRDefault="00556A2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33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</w:p>
        </w:tc>
        <w:tc>
          <w:tcPr>
            <w:tcW w:w="1809" w:type="dxa"/>
          </w:tcPr>
          <w:p w:rsidR="00A974CE" w:rsidRPr="00EB3F85" w:rsidRDefault="00F21D0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ICU</w:t>
            </w:r>
            <w:r w:rsidR="003261B0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6DA8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stay </w:t>
            </w:r>
            <w:r w:rsidR="003261B0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3261B0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52" w:type="dxa"/>
          </w:tcPr>
          <w:p w:rsidR="00A974CE" w:rsidRPr="00EB3F85" w:rsidRDefault="00F21D0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notropic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6DA8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support </w:t>
            </w:r>
            <w:r w:rsidR="00A974CE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&gt;3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mcg</w:t>
            </w:r>
            <w:r w:rsidR="003261B0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&gt;3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2200" w:type="dxa"/>
          </w:tcPr>
          <w:p w:rsidR="00A974CE" w:rsidRPr="00EB3F85" w:rsidRDefault="004A6DA8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Pleural effusion</w:t>
            </w:r>
            <w:r w:rsidR="00C515FE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515FE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A974CE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974CE" w:rsidRPr="00EB3F85" w:rsidRDefault="004A6DA8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Exudate</w:t>
            </w:r>
            <w:r w:rsidR="00C515FE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volume by day </w:t>
            </w:r>
            <w:r w:rsidR="00A974CE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515FE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="003261B0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C515FE"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A974CE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974CE" w:rsidRPr="00EB3F85" w:rsidTr="004A6DA8">
        <w:tc>
          <w:tcPr>
            <w:tcW w:w="1277" w:type="dxa"/>
          </w:tcPr>
          <w:p w:rsidR="00A974CE" w:rsidRPr="00EB3F85" w:rsidRDefault="00556A2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2202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3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809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9±6,51</w:t>
            </w:r>
          </w:p>
        </w:tc>
        <w:tc>
          <w:tcPr>
            <w:tcW w:w="2052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14(17%)</w:t>
            </w:r>
          </w:p>
        </w:tc>
        <w:tc>
          <w:tcPr>
            <w:tcW w:w="2200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8,0±5,79</w:t>
            </w:r>
          </w:p>
        </w:tc>
        <w:tc>
          <w:tcPr>
            <w:tcW w:w="2127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206,5±96,71</w:t>
            </w:r>
          </w:p>
        </w:tc>
      </w:tr>
      <w:tr w:rsidR="00A974CE" w:rsidRPr="00EB3F85" w:rsidTr="004A6DA8">
        <w:tc>
          <w:tcPr>
            <w:tcW w:w="1277" w:type="dxa"/>
          </w:tcPr>
          <w:p w:rsidR="00A974CE" w:rsidRPr="00EB3F85" w:rsidRDefault="00556A2B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proofErr w:type="spellEnd"/>
            <w:r w:rsidRPr="00EB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2202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09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12,0± 6,67</w:t>
            </w:r>
          </w:p>
        </w:tc>
        <w:tc>
          <w:tcPr>
            <w:tcW w:w="2052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3(50%)</w:t>
            </w:r>
          </w:p>
        </w:tc>
        <w:tc>
          <w:tcPr>
            <w:tcW w:w="2200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10,0± 4,50</w:t>
            </w:r>
          </w:p>
        </w:tc>
        <w:tc>
          <w:tcPr>
            <w:tcW w:w="2127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207,7±99,3</w:t>
            </w:r>
          </w:p>
        </w:tc>
      </w:tr>
      <w:tr w:rsidR="00A974CE" w:rsidRPr="00EB3F85" w:rsidTr="004A6DA8">
        <w:tc>
          <w:tcPr>
            <w:tcW w:w="1277" w:type="dxa"/>
          </w:tcPr>
          <w:p w:rsidR="00A974CE" w:rsidRPr="00EB3F85" w:rsidRDefault="00F21D0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Group</w:t>
            </w:r>
            <w:r w:rsidR="00B62202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3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9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9,0± 3,23</w:t>
            </w:r>
          </w:p>
        </w:tc>
        <w:tc>
          <w:tcPr>
            <w:tcW w:w="2052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1(25%)</w:t>
            </w:r>
          </w:p>
        </w:tc>
        <w:tc>
          <w:tcPr>
            <w:tcW w:w="2200" w:type="dxa"/>
          </w:tcPr>
          <w:p w:rsidR="00A974CE" w:rsidRPr="00EB3F85" w:rsidRDefault="002F703C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974CE"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,0± 4,21</w:t>
            </w:r>
          </w:p>
        </w:tc>
        <w:tc>
          <w:tcPr>
            <w:tcW w:w="2127" w:type="dxa"/>
          </w:tcPr>
          <w:p w:rsidR="00A974CE" w:rsidRPr="00EB3F85" w:rsidRDefault="00A974CE" w:rsidP="00EB3F85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272,5± 109,2</w:t>
            </w:r>
          </w:p>
        </w:tc>
      </w:tr>
    </w:tbl>
    <w:p w:rsidR="00D816F2" w:rsidRPr="00EB3F85" w:rsidRDefault="00D816F2" w:rsidP="00EB3F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DA8" w:rsidRPr="00EB3F85" w:rsidRDefault="004A6DA8" w:rsidP="00EB3F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t>At last follow-up none of the patients developed any SVOT gradient (by Cath). All of patients had zero or trivial neo-aortic valve regurgitation.</w:t>
      </w:r>
    </w:p>
    <w:p w:rsidR="0029227B" w:rsidRPr="00EB3F85" w:rsidRDefault="00314F1E" w:rsidP="00EB3F8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3F85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0A7B2D" w:rsidRPr="00EB3F85" w:rsidRDefault="00E25C30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key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points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TCPC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create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a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unobstructed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blood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flow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aorta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042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Our results indicate that the SVOTO relief at the concomitantly with TCPC does not cause significant increase in morbidity and mortality at early postoperative period.  The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suggest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042" w:rsidRPr="00EB3F85">
        <w:rPr>
          <w:rFonts w:ascii="Times New Roman" w:hAnsi="Times New Roman" w:cs="Times New Roman"/>
          <w:sz w:val="28"/>
          <w:szCs w:val="28"/>
          <w:lang w:val="en-US"/>
        </w:rPr>
        <w:t>that the DKS is the method of choice</w:t>
      </w:r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regard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avoidance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heart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block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adequate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removal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B3042"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SVOTO.</w:t>
      </w:r>
    </w:p>
    <w:p w:rsidR="00205011" w:rsidRPr="00EB3F85" w:rsidRDefault="00E25C30" w:rsidP="00EB3F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Our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consistent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recent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literature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F85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EB3F85">
        <w:rPr>
          <w:rFonts w:ascii="Times New Roman" w:hAnsi="Times New Roman" w:cs="Times New Roman"/>
          <w:sz w:val="28"/>
          <w:szCs w:val="28"/>
          <w:lang w:val="uk-UA"/>
        </w:rPr>
        <w:t xml:space="preserve"> [4,6,8,9,10,11,12].</w:t>
      </w:r>
    </w:p>
    <w:p w:rsidR="00BF2A2C" w:rsidRDefault="00205011" w:rsidP="006816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B3F8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DKS can be safely performed in conjunction with 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CPC without added 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significant morbidity and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mortality risk. It is very effective in 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eliminating</w:t>
      </w:r>
      <w:r w:rsidR="003C21AB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SVOTO risk, with sustainable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good semilunar valves function</w:t>
      </w:r>
      <w:r w:rsidRPr="00EB3F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br/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here is a concern that prior PAB could result in 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compression of the left main bronchus, especially in patients with a GA orientat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not side-by-side, </w:t>
      </w:r>
      <w:proofErr w:type="gramStart"/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cause 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>pulmonary valve distortion with conseque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>t regurgitation at time of DKS.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C30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We have no 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any mentioned complication 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 xml:space="preserve">incidence </w:t>
      </w:r>
      <w:r w:rsidR="000A7B2D" w:rsidRPr="00EB3F85">
        <w:rPr>
          <w:rFonts w:ascii="Times New Roman" w:hAnsi="Times New Roman" w:cs="Times New Roman"/>
          <w:sz w:val="28"/>
          <w:szCs w:val="28"/>
          <w:lang w:val="en-US"/>
        </w:rPr>
        <w:t>in our series</w:t>
      </w:r>
      <w:r w:rsidR="00CD64C5" w:rsidRPr="00EB3F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7FDC" w:rsidRDefault="00FF7FDC" w:rsidP="006816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F7FDC" w:rsidRPr="00FF7FDC" w:rsidRDefault="00FF7FDC" w:rsidP="00FF7FD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Referents</w:t>
      </w:r>
    </w:p>
    <w:p w:rsidR="00742CC9" w:rsidRPr="00B717E4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7E4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Fraser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Jr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 C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D.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systemic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outlet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obstruction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patients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undergoing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single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ventricle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palliation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Semin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Cardiovasc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Pediatr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Card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Annu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–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 2009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B717E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– P. </w:t>
      </w:r>
      <w:r w:rsidRPr="00B717E4">
        <w:rPr>
          <w:rFonts w:ascii="Times New Roman" w:hAnsi="Times New Roman"/>
          <w:sz w:val="28"/>
          <w:szCs w:val="28"/>
          <w:lang w:val="uk-UA"/>
        </w:rPr>
        <w:t>70–5.</w:t>
      </w:r>
    </w:p>
    <w:p w:rsidR="00742CC9" w:rsidRPr="00B717E4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7E4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Lacour-Gayet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F.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older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single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functioning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ventricles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outlet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obstruction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due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restricted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‘‘VSD’’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double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inlet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left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ventricle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complex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double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outlet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right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ventricle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Semin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Cardiovasc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Pediatr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Card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Annu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–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 2009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B717E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B717E4">
        <w:rPr>
          <w:rFonts w:ascii="Times New Roman" w:hAnsi="Times New Roman"/>
          <w:sz w:val="28"/>
          <w:szCs w:val="28"/>
          <w:lang w:val="uk-UA"/>
        </w:rPr>
        <w:t>130–2.</w:t>
      </w:r>
    </w:p>
    <w:p w:rsidR="00742CC9" w:rsidRPr="003548BC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8BC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Alsoufi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B</w:t>
      </w:r>
      <w:r w:rsidRPr="00C3493E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>, Al-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Wadai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C3493E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>, Khan M</w:t>
      </w:r>
      <w:r w:rsidRPr="00C3493E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>, Al-Ahmadi M</w:t>
      </w:r>
      <w:r w:rsidRPr="00C3493E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Kalloghlian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C3493E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>, Bulbul Z</w:t>
      </w:r>
      <w:r w:rsidRPr="00C3493E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, et al. Outcomes of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Damus-KayeStansel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anastomosis at time of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cavopulmonary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connection in single ventricle patients at risk of developing systemic ventricular outflow tract obstruction</w:t>
      </w:r>
      <w:r w:rsidRPr="00C3493E">
        <w:rPr>
          <w:rFonts w:ascii="Times New Roman" w:hAnsi="Times New Roman"/>
          <w:sz w:val="28"/>
          <w:szCs w:val="28"/>
          <w:lang w:val="en-US"/>
        </w:rPr>
        <w:t> //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J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Cardiothorac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Surg</w:t>
      </w:r>
      <w:r w:rsidRPr="00C3493E">
        <w:rPr>
          <w:rFonts w:ascii="Times New Roman" w:hAnsi="Times New Roman"/>
          <w:sz w:val="28"/>
          <w:szCs w:val="28"/>
          <w:lang w:val="en-US"/>
        </w:rPr>
        <w:t>. –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C3493E">
        <w:rPr>
          <w:rFonts w:ascii="Times New Roman" w:hAnsi="Times New Roman"/>
          <w:sz w:val="28"/>
          <w:szCs w:val="28"/>
          <w:lang w:val="en-US"/>
        </w:rPr>
        <w:t>. 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3548BC">
        <w:rPr>
          <w:rFonts w:ascii="Times New Roman" w:hAnsi="Times New Roman"/>
          <w:sz w:val="28"/>
          <w:szCs w:val="28"/>
          <w:lang w:val="en-US"/>
        </w:rPr>
        <w:t>45</w:t>
      </w:r>
      <w:r w:rsidRPr="00C3493E">
        <w:rPr>
          <w:rFonts w:ascii="Times New Roman" w:hAnsi="Times New Roman"/>
          <w:sz w:val="28"/>
          <w:szCs w:val="28"/>
          <w:lang w:val="en-US"/>
        </w:rPr>
        <w:t>. 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3548BC">
        <w:rPr>
          <w:rFonts w:ascii="Times New Roman" w:hAnsi="Times New Roman"/>
          <w:sz w:val="28"/>
          <w:szCs w:val="28"/>
          <w:lang w:val="en-US"/>
        </w:rPr>
        <w:t>77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548BC">
        <w:rPr>
          <w:rFonts w:ascii="Times New Roman" w:hAnsi="Times New Roman"/>
          <w:sz w:val="28"/>
          <w:szCs w:val="28"/>
          <w:lang w:val="en-US"/>
        </w:rPr>
        <w:t>82.</w:t>
      </w:r>
    </w:p>
    <w:p w:rsidR="00742CC9" w:rsidRPr="00B717E4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7E4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Miura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T.,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Kishimoto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H.,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Kawata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H.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univentricular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heart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systemic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ventricular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outflow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obstruction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pulmonary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artery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banding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Damus-Kaye-Stansel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operation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717E4">
        <w:rPr>
          <w:rFonts w:ascii="Times New Roman" w:hAnsi="Times New Roman"/>
          <w:sz w:val="28"/>
          <w:szCs w:val="28"/>
          <w:lang w:val="uk-UA"/>
        </w:rPr>
        <w:t>2004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0E2A">
        <w:rPr>
          <w:rFonts w:ascii="Times New Roman" w:hAnsi="Times New Roman"/>
          <w:sz w:val="28"/>
          <w:szCs w:val="28"/>
          <w:lang w:val="en-US"/>
        </w:rPr>
        <w:t>–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B717E4">
        <w:rPr>
          <w:rFonts w:ascii="Times New Roman" w:hAnsi="Times New Roman"/>
          <w:sz w:val="28"/>
          <w:szCs w:val="28"/>
          <w:lang w:val="uk-UA"/>
        </w:rPr>
        <w:t>77 (1)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B717E4">
        <w:rPr>
          <w:rFonts w:ascii="Times New Roman" w:hAnsi="Times New Roman"/>
          <w:sz w:val="28"/>
          <w:szCs w:val="28"/>
          <w:lang w:val="uk-UA"/>
        </w:rPr>
        <w:t>23–8.</w:t>
      </w:r>
    </w:p>
    <w:p w:rsidR="00742CC9" w:rsidRPr="003548BC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8BC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Fujii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Y.,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Kasahara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S.,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Kotani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Y.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Double-barrel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Damus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Kaye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Stansel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operation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better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than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end-to-side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Damus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Kaye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Stansel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operation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preserving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pulmonary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valve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function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importance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preserving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shape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pulmonary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sinus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// 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J.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Cardiovasc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548BC">
        <w:rPr>
          <w:rFonts w:ascii="Times New Roman" w:hAnsi="Times New Roman"/>
          <w:sz w:val="28"/>
          <w:szCs w:val="28"/>
          <w:lang w:val="uk-UA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3548BC">
        <w:rPr>
          <w:rFonts w:ascii="Times New Roman" w:hAnsi="Times New Roman"/>
          <w:sz w:val="28"/>
          <w:szCs w:val="28"/>
          <w:lang w:val="uk-UA"/>
        </w:rPr>
        <w:t>141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3548BC">
        <w:rPr>
          <w:rFonts w:ascii="Times New Roman" w:hAnsi="Times New Roman"/>
          <w:sz w:val="28"/>
          <w:szCs w:val="28"/>
          <w:lang w:val="uk-UA"/>
        </w:rPr>
        <w:t>193–9.</w:t>
      </w:r>
    </w:p>
    <w:p w:rsidR="00742CC9" w:rsidRPr="00B717E4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7E4">
        <w:rPr>
          <w:rFonts w:ascii="Times New Roman" w:hAnsi="Times New Roman"/>
          <w:sz w:val="28"/>
          <w:szCs w:val="28"/>
          <w:lang w:val="uk-UA"/>
        </w:rPr>
        <w:lastRenderedPageBreak/>
        <w:t xml:space="preserve">6.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Pass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717E4">
        <w:rPr>
          <w:rFonts w:ascii="Times New Roman" w:hAnsi="Times New Roman"/>
          <w:sz w:val="28"/>
          <w:szCs w:val="28"/>
          <w:lang w:val="uk-UA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Solowiejczyk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D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717E4">
        <w:rPr>
          <w:rFonts w:ascii="Times New Roman" w:hAnsi="Times New Roman"/>
          <w:sz w:val="28"/>
          <w:szCs w:val="28"/>
          <w:lang w:val="uk-UA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Quaegebeur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J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717E4">
        <w:rPr>
          <w:rFonts w:ascii="Times New Roman" w:hAnsi="Times New Roman"/>
          <w:sz w:val="28"/>
          <w:szCs w:val="28"/>
          <w:lang w:val="uk-UA"/>
        </w:rPr>
        <w:t>M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Bulboventricular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foramen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resection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hemodynamic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electrophysiologic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results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Ann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 – </w:t>
      </w:r>
      <w:r w:rsidRPr="00B717E4">
        <w:rPr>
          <w:rFonts w:ascii="Times New Roman" w:hAnsi="Times New Roman"/>
          <w:sz w:val="28"/>
          <w:szCs w:val="28"/>
          <w:lang w:val="uk-UA"/>
        </w:rPr>
        <w:t>2001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sz w:val="28"/>
          <w:szCs w:val="28"/>
          <w:lang w:val="en-US"/>
        </w:rPr>
        <w:t xml:space="preserve">  Vol. </w:t>
      </w:r>
      <w:r w:rsidRPr="00B717E4">
        <w:rPr>
          <w:rFonts w:ascii="Times New Roman" w:hAnsi="Times New Roman"/>
          <w:sz w:val="28"/>
          <w:szCs w:val="28"/>
          <w:lang w:val="uk-UA"/>
        </w:rPr>
        <w:t>71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717E4">
        <w:rPr>
          <w:rFonts w:ascii="Times New Roman" w:hAnsi="Times New Roman"/>
          <w:sz w:val="28"/>
          <w:szCs w:val="28"/>
          <w:lang w:val="uk-UA"/>
        </w:rPr>
        <w:t>(4)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B717E4">
        <w:rPr>
          <w:rFonts w:ascii="Times New Roman" w:hAnsi="Times New Roman"/>
          <w:sz w:val="28"/>
          <w:szCs w:val="28"/>
          <w:lang w:val="uk-UA"/>
        </w:rPr>
        <w:t>1251–4.</w:t>
      </w:r>
    </w:p>
    <w:p w:rsidR="00742CC9" w:rsidRPr="00B717E4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7E4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231C6A">
        <w:rPr>
          <w:rFonts w:ascii="Times New Roman" w:hAnsi="Times New Roman"/>
          <w:sz w:val="28"/>
          <w:szCs w:val="28"/>
          <w:lang w:val="en-US"/>
        </w:rPr>
        <w:t>Frescura</w:t>
      </w:r>
      <w:proofErr w:type="spellEnd"/>
      <w:r w:rsidRPr="00231C6A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C3493E">
        <w:rPr>
          <w:rFonts w:ascii="Times New Roman" w:hAnsi="Times New Roman"/>
          <w:sz w:val="28"/>
          <w:szCs w:val="28"/>
          <w:lang w:val="en-US"/>
        </w:rPr>
        <w:t>.</w:t>
      </w:r>
      <w:r w:rsidRPr="00231C6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31C6A">
        <w:rPr>
          <w:rFonts w:ascii="Times New Roman" w:hAnsi="Times New Roman"/>
          <w:sz w:val="28"/>
          <w:szCs w:val="28"/>
          <w:lang w:val="en-US"/>
        </w:rPr>
        <w:t>Thiene</w:t>
      </w:r>
      <w:proofErr w:type="spellEnd"/>
      <w:r w:rsidRPr="00231C6A">
        <w:rPr>
          <w:rFonts w:ascii="Times New Roman" w:hAnsi="Times New Roman"/>
          <w:sz w:val="28"/>
          <w:szCs w:val="28"/>
          <w:lang w:val="en-US"/>
        </w:rPr>
        <w:t xml:space="preserve"> G. The new concept of </w:t>
      </w:r>
      <w:proofErr w:type="spellStart"/>
      <w:r w:rsidRPr="00231C6A">
        <w:rPr>
          <w:rFonts w:ascii="Times New Roman" w:hAnsi="Times New Roman"/>
          <w:sz w:val="28"/>
          <w:szCs w:val="28"/>
          <w:lang w:val="en-US"/>
        </w:rPr>
        <w:t>univentricular</w:t>
      </w:r>
      <w:proofErr w:type="spellEnd"/>
      <w:r w:rsidRPr="00231C6A">
        <w:rPr>
          <w:rFonts w:ascii="Times New Roman" w:hAnsi="Times New Roman"/>
          <w:sz w:val="28"/>
          <w:szCs w:val="28"/>
          <w:lang w:val="en-US"/>
        </w:rPr>
        <w:t xml:space="preserve"> heart</w:t>
      </w:r>
      <w:r w:rsidRPr="00C3493E">
        <w:rPr>
          <w:lang w:val="en-US"/>
        </w:rPr>
        <w:t xml:space="preserve">// </w:t>
      </w:r>
      <w:r w:rsidRPr="00B35AE9">
        <w:rPr>
          <w:rFonts w:ascii="Times New Roman" w:hAnsi="Times New Roman"/>
          <w:sz w:val="28"/>
          <w:szCs w:val="28"/>
          <w:lang w:val="en-US"/>
        </w:rPr>
        <w:t xml:space="preserve">Front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Pediatr</w:t>
      </w:r>
      <w:proofErr w:type="spellEnd"/>
      <w:r w:rsidRPr="00C3493E">
        <w:rPr>
          <w:rFonts w:ascii="Times New Roman" w:hAnsi="Times New Roman"/>
          <w:sz w:val="28"/>
          <w:szCs w:val="28"/>
          <w:lang w:val="en-US"/>
        </w:rPr>
        <w:t>. –</w:t>
      </w:r>
      <w:r w:rsidRPr="00B35AE9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C3493E">
        <w:rPr>
          <w:rFonts w:ascii="Times New Roman" w:hAnsi="Times New Roman"/>
          <w:sz w:val="28"/>
          <w:szCs w:val="28"/>
          <w:lang w:val="en-US"/>
        </w:rPr>
        <w:t xml:space="preserve">. –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B35AE9">
        <w:rPr>
          <w:rFonts w:ascii="Times New Roman" w:hAnsi="Times New Roman"/>
          <w:sz w:val="28"/>
          <w:szCs w:val="28"/>
          <w:lang w:val="en-US"/>
        </w:rPr>
        <w:t>2</w:t>
      </w:r>
      <w:r w:rsidRPr="00C3493E">
        <w:rPr>
          <w:rFonts w:ascii="Times New Roman" w:hAnsi="Times New Roman"/>
          <w:sz w:val="28"/>
          <w:szCs w:val="28"/>
          <w:lang w:val="en-US"/>
        </w:rPr>
        <w:t>. 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B35AE9">
        <w:rPr>
          <w:rFonts w:ascii="Times New Roman" w:hAnsi="Times New Roman"/>
          <w:sz w:val="28"/>
          <w:szCs w:val="28"/>
          <w:lang w:val="en-US"/>
        </w:rPr>
        <w:t>62.</w:t>
      </w:r>
    </w:p>
    <w:p w:rsidR="00742CC9" w:rsidRPr="00B717E4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93E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Kawahira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Y.,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Nishigaki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K.,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Maehata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Y.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Efficacy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Damus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Kaye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Stansel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procedure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patients</w:t>
      </w:r>
      <w:proofErr w:type="spellEnd"/>
      <w:r w:rsidRPr="00C349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493E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univentricular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heart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associated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ventriculo-arterial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discordance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excessive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pulmonary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blood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flow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// </w:t>
      </w:r>
      <w:proofErr w:type="spellStart"/>
      <w:r w:rsidRPr="00B717E4">
        <w:rPr>
          <w:rFonts w:ascii="Times New Roman" w:hAnsi="Times New Roman"/>
          <w:sz w:val="28"/>
          <w:szCs w:val="28"/>
          <w:lang w:val="uk-UA"/>
        </w:rPr>
        <w:t>Inter</w:t>
      </w:r>
      <w:proofErr w:type="spellEnd"/>
      <w:r w:rsidRPr="00B717E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Cardiovasc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– </w:t>
      </w:r>
      <w:r w:rsidRPr="00B717E4">
        <w:rPr>
          <w:rFonts w:ascii="Times New Roman" w:hAnsi="Times New Roman"/>
          <w:sz w:val="28"/>
          <w:szCs w:val="28"/>
          <w:lang w:val="uk-UA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B717E4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B71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B717E4">
        <w:rPr>
          <w:rFonts w:ascii="Times New Roman" w:hAnsi="Times New Roman"/>
          <w:sz w:val="28"/>
          <w:szCs w:val="28"/>
          <w:lang w:val="uk-UA"/>
        </w:rPr>
        <w:t>943–5.</w:t>
      </w:r>
    </w:p>
    <w:p w:rsidR="00742CC9" w:rsidRPr="003548BC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48BC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Shimada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M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Hoashi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T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Kagisaki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K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Shiraishi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I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Yagihara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T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Ichikawa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H.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Clinical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outcomes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prophylactic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Damus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Kaye-Stansel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anastomosis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concomitant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bidirectional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Glenn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procedure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3548BC">
        <w:rPr>
          <w:rFonts w:ascii="Times New Roman" w:hAnsi="Times New Roman"/>
          <w:sz w:val="28"/>
          <w:szCs w:val="28"/>
          <w:lang w:val="uk-UA"/>
        </w:rPr>
        <w:t xml:space="preserve">J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Thorac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Cardiovasc</w:t>
      </w:r>
      <w:proofErr w:type="spellEnd"/>
      <w:r w:rsidRPr="00354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548BC">
        <w:rPr>
          <w:rFonts w:ascii="Times New Roman" w:hAnsi="Times New Roman"/>
          <w:sz w:val="28"/>
          <w:szCs w:val="28"/>
          <w:lang w:val="uk-UA"/>
        </w:rPr>
        <w:t>Surg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– </w:t>
      </w:r>
      <w:r w:rsidRPr="003548BC">
        <w:rPr>
          <w:rFonts w:ascii="Times New Roman" w:hAnsi="Times New Roman"/>
          <w:sz w:val="28"/>
          <w:szCs w:val="28"/>
          <w:lang w:val="uk-UA"/>
        </w:rPr>
        <w:t>2012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>
        <w:rPr>
          <w:rFonts w:ascii="Times New Roman" w:hAnsi="Times New Roman"/>
          <w:sz w:val="28"/>
          <w:szCs w:val="28"/>
          <w:lang w:val="en-US"/>
        </w:rPr>
        <w:t xml:space="preserve"> Vol. </w:t>
      </w:r>
      <w:r w:rsidRPr="003548BC">
        <w:rPr>
          <w:rFonts w:ascii="Times New Roman" w:hAnsi="Times New Roman"/>
          <w:sz w:val="28"/>
          <w:szCs w:val="28"/>
          <w:lang w:val="uk-UA"/>
        </w:rPr>
        <w:t>143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548BC">
        <w:rPr>
          <w:rFonts w:ascii="Times New Roman" w:hAnsi="Times New Roman"/>
          <w:sz w:val="28"/>
          <w:szCs w:val="28"/>
          <w:lang w:val="uk-UA"/>
        </w:rPr>
        <w:t>(1)</w:t>
      </w:r>
      <w:r>
        <w:rPr>
          <w:rFonts w:ascii="Times New Roman" w:hAnsi="Times New Roman"/>
          <w:sz w:val="28"/>
          <w:szCs w:val="28"/>
          <w:lang w:val="uk-UA"/>
        </w:rPr>
        <w:t>. –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3548BC">
        <w:rPr>
          <w:rFonts w:ascii="Times New Roman" w:hAnsi="Times New Roman"/>
          <w:sz w:val="28"/>
          <w:szCs w:val="28"/>
          <w:lang w:val="uk-UA"/>
        </w:rPr>
        <w:t>137–43.</w:t>
      </w:r>
    </w:p>
    <w:p w:rsidR="00742CC9" w:rsidRPr="003548BC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548BC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Alsoufi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B</w:t>
      </w:r>
      <w:r w:rsidRPr="00ED6BBB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Manlhiot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ED6BBB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>, Awan A</w:t>
      </w:r>
      <w:r w:rsidRPr="00ED6BBB">
        <w:rPr>
          <w:rFonts w:ascii="Times New Roman" w:hAnsi="Times New Roman"/>
          <w:sz w:val="28"/>
          <w:szCs w:val="28"/>
          <w:lang w:val="en-US"/>
        </w:rPr>
        <w:t>.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, et al. Current outcomes of the Glenn bidirectional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cavopulmonary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connection for single ventricle palliation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 //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J </w:t>
      </w:r>
      <w:proofErr w:type="spellStart"/>
      <w:r w:rsidRPr="003548BC">
        <w:rPr>
          <w:rFonts w:ascii="Times New Roman" w:hAnsi="Times New Roman"/>
          <w:sz w:val="28"/>
          <w:szCs w:val="28"/>
          <w:lang w:val="en-US"/>
        </w:rPr>
        <w:t>Cardiothorac</w:t>
      </w:r>
      <w:proofErr w:type="spellEnd"/>
      <w:r w:rsidRPr="003548BC">
        <w:rPr>
          <w:rFonts w:ascii="Times New Roman" w:hAnsi="Times New Roman"/>
          <w:sz w:val="28"/>
          <w:szCs w:val="28"/>
          <w:lang w:val="en-US"/>
        </w:rPr>
        <w:t xml:space="preserve"> Surg</w:t>
      </w:r>
      <w:r w:rsidRPr="00ED6BBB">
        <w:rPr>
          <w:rFonts w:ascii="Times New Roman" w:hAnsi="Times New Roman"/>
          <w:sz w:val="28"/>
          <w:szCs w:val="28"/>
          <w:lang w:val="en-US"/>
        </w:rPr>
        <w:t>. –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 2012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. – </w:t>
      </w:r>
      <w:r>
        <w:rPr>
          <w:rFonts w:ascii="Times New Roman" w:hAnsi="Times New Roman"/>
          <w:sz w:val="28"/>
          <w:szCs w:val="28"/>
          <w:lang w:val="en-US"/>
        </w:rPr>
        <w:t>Vol. </w:t>
      </w:r>
      <w:r w:rsidRPr="003548BC">
        <w:rPr>
          <w:rFonts w:ascii="Times New Roman" w:hAnsi="Times New Roman"/>
          <w:sz w:val="28"/>
          <w:szCs w:val="28"/>
          <w:lang w:val="en-US"/>
        </w:rPr>
        <w:t>42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8BC">
        <w:rPr>
          <w:rFonts w:ascii="Times New Roman" w:hAnsi="Times New Roman"/>
          <w:sz w:val="28"/>
          <w:szCs w:val="28"/>
          <w:lang w:val="en-US"/>
        </w:rPr>
        <w:t>(1)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ED6BB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 P. </w:t>
      </w:r>
      <w:r w:rsidRPr="003548BC">
        <w:rPr>
          <w:rFonts w:ascii="Times New Roman" w:hAnsi="Times New Roman"/>
          <w:sz w:val="28"/>
          <w:szCs w:val="28"/>
          <w:lang w:val="en-US"/>
        </w:rPr>
        <w:t xml:space="preserve">42–8 [discussion </w:t>
      </w:r>
      <w:r>
        <w:rPr>
          <w:rFonts w:ascii="Times New Roman" w:hAnsi="Times New Roman"/>
          <w:sz w:val="28"/>
          <w:szCs w:val="28"/>
          <w:lang w:val="en-US"/>
        </w:rPr>
        <w:t>P. </w:t>
      </w:r>
      <w:r w:rsidRPr="003548BC">
        <w:rPr>
          <w:rFonts w:ascii="Times New Roman" w:hAnsi="Times New Roman"/>
          <w:sz w:val="28"/>
          <w:szCs w:val="28"/>
          <w:lang w:val="en-US"/>
        </w:rPr>
        <w:t>48–9].</w:t>
      </w:r>
    </w:p>
    <w:p w:rsidR="00742CC9" w:rsidRPr="00B35AE9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717E4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030A35">
        <w:rPr>
          <w:rFonts w:ascii="Times New Roman" w:hAnsi="Times New Roman"/>
          <w:sz w:val="28"/>
          <w:szCs w:val="28"/>
          <w:lang w:val="en-US"/>
        </w:rPr>
        <w:t xml:space="preserve">Nabil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Albahlooli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, Nabil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Albahlooli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, Sami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Alahdal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Yahya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Alfaraidi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Howaida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Alqethamy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Damus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>–Kaye–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Stansel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 operation versus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bulboventricular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 foramen enlargement for the management of </w:t>
      </w:r>
      <w:proofErr w:type="spellStart"/>
      <w:r w:rsidRPr="00030A35">
        <w:rPr>
          <w:rFonts w:ascii="Times New Roman" w:hAnsi="Times New Roman"/>
          <w:sz w:val="28"/>
          <w:szCs w:val="28"/>
          <w:lang w:val="en-US"/>
        </w:rPr>
        <w:t>univentricular</w:t>
      </w:r>
      <w:proofErr w:type="spellEnd"/>
      <w:r w:rsidRPr="00030A35">
        <w:rPr>
          <w:rFonts w:ascii="Times New Roman" w:hAnsi="Times New Roman"/>
          <w:sz w:val="28"/>
          <w:szCs w:val="28"/>
          <w:lang w:val="en-US"/>
        </w:rPr>
        <w:t xml:space="preserve"> heart with systemic outflow obstruction: 17 years’ experience, a retrospective study. DOI:</w:t>
      </w:r>
      <w:r w:rsidRPr="00B35AE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030A35">
          <w:rPr>
            <w:rFonts w:ascii="Times New Roman" w:hAnsi="Times New Roman"/>
            <w:sz w:val="28"/>
            <w:szCs w:val="28"/>
            <w:lang w:val="en-US"/>
          </w:rPr>
          <w:t>dx.doi.org/10.1016/j.jsha.2015.05.192</w:t>
        </w:r>
      </w:hyperlink>
      <w:r w:rsidRPr="00030A3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742CC9" w:rsidRDefault="00742CC9" w:rsidP="00742C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7E4">
        <w:rPr>
          <w:rFonts w:ascii="Times New Roman" w:hAnsi="Times New Roman"/>
          <w:sz w:val="28"/>
          <w:szCs w:val="28"/>
          <w:lang w:val="uk-UA"/>
        </w:rPr>
        <w:t xml:space="preserve">12. 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Pelin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Ayy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>ı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ld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>ı</w:t>
      </w:r>
      <w:r w:rsidRPr="00B35AE9">
        <w:rPr>
          <w:rFonts w:ascii="Times New Roman" w:hAnsi="Times New Roman"/>
          <w:sz w:val="28"/>
          <w:szCs w:val="28"/>
          <w:lang w:val="en-US"/>
        </w:rPr>
        <w:t>z</w:t>
      </w:r>
      <w:r w:rsidRPr="00231C6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Taner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Kasar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231C6A">
        <w:rPr>
          <w:rFonts w:ascii="Times New Roman" w:hAnsi="Times New Roman"/>
          <w:sz w:val="28"/>
          <w:szCs w:val="28"/>
          <w:lang w:val="uk-UA"/>
        </w:rPr>
        <w:t xml:space="preserve"> Ö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yk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>ü İ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sal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Tosun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Yakup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5AE9">
        <w:rPr>
          <w:rFonts w:ascii="Times New Roman" w:hAnsi="Times New Roman"/>
          <w:sz w:val="28"/>
          <w:szCs w:val="28"/>
          <w:lang w:val="en-US"/>
        </w:rPr>
        <w:t>Erg</w:t>
      </w:r>
      <w:r w:rsidRPr="00231C6A">
        <w:rPr>
          <w:rFonts w:ascii="Times New Roman" w:hAnsi="Times New Roman"/>
          <w:sz w:val="28"/>
          <w:szCs w:val="28"/>
          <w:lang w:val="uk-UA"/>
        </w:rPr>
        <w:t>ü</w:t>
      </w:r>
      <w:r w:rsidRPr="00B35AE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5AE9">
        <w:rPr>
          <w:rFonts w:ascii="Times New Roman" w:hAnsi="Times New Roman"/>
          <w:sz w:val="28"/>
          <w:szCs w:val="28"/>
          <w:lang w:val="en-US"/>
        </w:rPr>
        <w:t>Ender</w:t>
      </w:r>
      <w:r w:rsidRPr="00231C6A">
        <w:rPr>
          <w:rFonts w:ascii="Times New Roman" w:hAnsi="Times New Roman"/>
          <w:sz w:val="28"/>
          <w:szCs w:val="28"/>
          <w:lang w:val="uk-UA"/>
        </w:rPr>
        <w:t xml:space="preserve"> Ö</w:t>
      </w:r>
      <w:r w:rsidRPr="00B35AE9">
        <w:rPr>
          <w:rFonts w:ascii="Times New Roman" w:hAnsi="Times New Roman"/>
          <w:sz w:val="28"/>
          <w:szCs w:val="28"/>
          <w:lang w:val="en-US"/>
        </w:rPr>
        <w:t>demi</w:t>
      </w:r>
      <w:r>
        <w:rPr>
          <w:rFonts w:ascii="Times New Roman" w:hAnsi="Times New Roman"/>
          <w:sz w:val="28"/>
          <w:szCs w:val="28"/>
          <w:lang w:val="uk-UA"/>
        </w:rPr>
        <w:t>ş,</w:t>
      </w:r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Alper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5AE9">
        <w:rPr>
          <w:rFonts w:ascii="Times New Roman" w:hAnsi="Times New Roman"/>
          <w:sz w:val="28"/>
          <w:szCs w:val="28"/>
          <w:lang w:val="en-US"/>
        </w:rPr>
        <w:t>G</w:t>
      </w:r>
      <w:r w:rsidRPr="00231C6A">
        <w:rPr>
          <w:rFonts w:ascii="Times New Roman" w:hAnsi="Times New Roman"/>
          <w:sz w:val="28"/>
          <w:szCs w:val="28"/>
          <w:lang w:val="uk-UA"/>
        </w:rPr>
        <w:t>ü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zelta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>ş, İ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hsan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5AE9">
        <w:rPr>
          <w:rFonts w:ascii="Times New Roman" w:hAnsi="Times New Roman"/>
          <w:sz w:val="28"/>
          <w:szCs w:val="28"/>
          <w:lang w:val="en-US"/>
        </w:rPr>
        <w:t>Bak</w:t>
      </w:r>
      <w:proofErr w:type="spellEnd"/>
      <w:r w:rsidRPr="00231C6A">
        <w:rPr>
          <w:rFonts w:ascii="Times New Roman" w:hAnsi="Times New Roman"/>
          <w:sz w:val="28"/>
          <w:szCs w:val="28"/>
          <w:lang w:val="uk-UA"/>
        </w:rPr>
        <w:t>ı</w:t>
      </w:r>
      <w:r w:rsidRPr="00B35AE9">
        <w:rPr>
          <w:rFonts w:ascii="Times New Roman" w:hAnsi="Times New Roman"/>
          <w:sz w:val="28"/>
          <w:szCs w:val="28"/>
          <w:lang w:val="en-US"/>
        </w:rPr>
        <w:t>r</w:t>
      </w:r>
      <w:r w:rsidRPr="00231C6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1C6A">
        <w:rPr>
          <w:rFonts w:ascii="Times New Roman" w:hAnsi="Times New Roman"/>
          <w:sz w:val="28"/>
          <w:szCs w:val="28"/>
          <w:lang w:val="en-US"/>
        </w:rPr>
        <w:t>The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C6A">
        <w:rPr>
          <w:rFonts w:ascii="Times New Roman" w:hAnsi="Times New Roman"/>
          <w:sz w:val="28"/>
          <w:szCs w:val="28"/>
          <w:lang w:val="en-US"/>
        </w:rPr>
        <w:t>evaluation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C6A">
        <w:rPr>
          <w:rFonts w:ascii="Times New Roman" w:hAnsi="Times New Roman"/>
          <w:sz w:val="28"/>
          <w:szCs w:val="28"/>
          <w:lang w:val="en-US"/>
        </w:rPr>
        <w:t>of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C6A">
        <w:rPr>
          <w:rFonts w:ascii="Times New Roman" w:hAnsi="Times New Roman"/>
          <w:sz w:val="28"/>
          <w:szCs w:val="28"/>
          <w:lang w:val="en-US"/>
        </w:rPr>
        <w:t>cases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C6A">
        <w:rPr>
          <w:rFonts w:ascii="Times New Roman" w:hAnsi="Times New Roman"/>
          <w:sz w:val="28"/>
          <w:szCs w:val="28"/>
          <w:lang w:val="en-US"/>
        </w:rPr>
        <w:t>with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C6A">
        <w:rPr>
          <w:rFonts w:ascii="Times New Roman" w:hAnsi="Times New Roman"/>
          <w:sz w:val="28"/>
          <w:szCs w:val="28"/>
          <w:lang w:val="en-US"/>
        </w:rPr>
        <w:t>double</w:t>
      </w:r>
      <w:r w:rsidRPr="00ED6BBB">
        <w:rPr>
          <w:rFonts w:ascii="Times New Roman" w:hAnsi="Times New Roman"/>
          <w:sz w:val="28"/>
          <w:szCs w:val="28"/>
          <w:lang w:val="uk-UA"/>
        </w:rPr>
        <w:t>-</w:t>
      </w:r>
      <w:r w:rsidRPr="00231C6A">
        <w:rPr>
          <w:rFonts w:ascii="Times New Roman" w:hAnsi="Times New Roman"/>
          <w:sz w:val="28"/>
          <w:szCs w:val="28"/>
          <w:lang w:val="en-US"/>
        </w:rPr>
        <w:t>inlet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C6A">
        <w:rPr>
          <w:rFonts w:ascii="Times New Roman" w:hAnsi="Times New Roman"/>
          <w:sz w:val="28"/>
          <w:szCs w:val="28"/>
          <w:lang w:val="en-US"/>
        </w:rPr>
        <w:t>left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C6A">
        <w:rPr>
          <w:rFonts w:ascii="Times New Roman" w:hAnsi="Times New Roman"/>
          <w:sz w:val="28"/>
          <w:szCs w:val="28"/>
          <w:lang w:val="en-US"/>
        </w:rPr>
        <w:t>ventricle</w:t>
      </w:r>
      <w:r w:rsidRPr="00ED6BB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ventriculoarterial</w:t>
      </w:r>
      <w:proofErr w:type="spellEnd"/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discordance</w:t>
      </w:r>
      <w:r w:rsidRPr="00ED6BBB">
        <w:rPr>
          <w:rFonts w:ascii="Times New Roman" w:hAnsi="Times New Roman"/>
          <w:sz w:val="28"/>
          <w:szCs w:val="28"/>
          <w:lang w:val="en-US"/>
        </w:rPr>
        <w:t> 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ED6BBB">
        <w:rPr>
          <w:rFonts w:ascii="Times New Roman" w:hAnsi="Times New Roman"/>
          <w:sz w:val="28"/>
          <w:szCs w:val="28"/>
          <w:lang w:val="en-US"/>
        </w:rPr>
        <w:t>Turk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6BBB">
        <w:rPr>
          <w:rFonts w:ascii="Times New Roman" w:hAnsi="Times New Roman"/>
          <w:sz w:val="28"/>
          <w:szCs w:val="28"/>
          <w:lang w:val="en-US"/>
        </w:rPr>
        <w:t>Gogus</w:t>
      </w:r>
      <w:proofErr w:type="spellEnd"/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6BBB">
        <w:rPr>
          <w:rFonts w:ascii="Times New Roman" w:hAnsi="Times New Roman"/>
          <w:sz w:val="28"/>
          <w:szCs w:val="28"/>
          <w:lang w:val="en-US"/>
        </w:rPr>
        <w:t>Kalp</w:t>
      </w:r>
      <w:proofErr w:type="spellEnd"/>
      <w:r w:rsidRPr="00ED6B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6BBB">
        <w:rPr>
          <w:rFonts w:ascii="Times New Roman" w:hAnsi="Times New Roman"/>
          <w:sz w:val="28"/>
          <w:szCs w:val="28"/>
          <w:lang w:val="en-US"/>
        </w:rPr>
        <w:t>Dama</w:t>
      </w:r>
      <w:proofErr w:type="spellEnd"/>
      <w:r w:rsidRPr="00ED6BB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D6BBB">
        <w:rPr>
          <w:rFonts w:ascii="Times New Roman" w:hAnsi="Times New Roman"/>
          <w:sz w:val="28"/>
          <w:szCs w:val="28"/>
          <w:lang w:val="uk-UA"/>
        </w:rPr>
        <w:t>– 2016.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Vol</w:t>
      </w:r>
      <w:r w:rsidRPr="00ED6BB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D6BBB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D6BBB">
        <w:rPr>
          <w:rFonts w:ascii="Times New Roman" w:hAnsi="Times New Roman"/>
          <w:sz w:val="28"/>
          <w:szCs w:val="28"/>
          <w:lang w:val="uk-UA"/>
        </w:rPr>
        <w:t>(2).</w:t>
      </w:r>
      <w:r w:rsidRPr="007F47A5">
        <w:rPr>
          <w:rFonts w:ascii="Times New Roman" w:hAnsi="Times New Roman"/>
          <w:sz w:val="28"/>
          <w:szCs w:val="28"/>
          <w:lang w:val="en-US"/>
        </w:rPr>
        <w:t> </w:t>
      </w:r>
      <w:r w:rsidRPr="00ED6BB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D6BB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D6BBB">
        <w:rPr>
          <w:rFonts w:ascii="Times New Roman" w:hAnsi="Times New Roman"/>
          <w:sz w:val="28"/>
          <w:szCs w:val="28"/>
          <w:lang w:val="uk-UA"/>
        </w:rPr>
        <w:t>213–219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7FDC" w:rsidRPr="00B717E4" w:rsidRDefault="00FF7FDC" w:rsidP="00FF7F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F7FDC" w:rsidRPr="00FF7FDC" w:rsidRDefault="00FF7FDC" w:rsidP="006816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7FDC" w:rsidRPr="00FF7FDC" w:rsidSect="0020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1C" w:rsidRDefault="00AE231C" w:rsidP="0036200E">
      <w:pPr>
        <w:spacing w:after="0" w:line="240" w:lineRule="auto"/>
      </w:pPr>
      <w:r>
        <w:separator/>
      </w:r>
    </w:p>
  </w:endnote>
  <w:endnote w:type="continuationSeparator" w:id="0">
    <w:p w:rsidR="00AE231C" w:rsidRDefault="00AE231C" w:rsidP="0036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1C" w:rsidRDefault="00AE231C" w:rsidP="0036200E">
      <w:pPr>
        <w:spacing w:after="0" w:line="240" w:lineRule="auto"/>
      </w:pPr>
      <w:r>
        <w:separator/>
      </w:r>
    </w:p>
  </w:footnote>
  <w:footnote w:type="continuationSeparator" w:id="0">
    <w:p w:rsidR="00AE231C" w:rsidRDefault="00AE231C" w:rsidP="0036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2CC"/>
    <w:multiLevelType w:val="hybridMultilevel"/>
    <w:tmpl w:val="F6189EBC"/>
    <w:lvl w:ilvl="0" w:tplc="6D0C0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0FF4"/>
    <w:multiLevelType w:val="hybridMultilevel"/>
    <w:tmpl w:val="CD70C65A"/>
    <w:lvl w:ilvl="0" w:tplc="FDF2D5D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0E"/>
    <w:rsid w:val="00000E63"/>
    <w:rsid w:val="0000247E"/>
    <w:rsid w:val="00002E0A"/>
    <w:rsid w:val="0000564C"/>
    <w:rsid w:val="00007BBB"/>
    <w:rsid w:val="00031BC6"/>
    <w:rsid w:val="00083A29"/>
    <w:rsid w:val="000844AD"/>
    <w:rsid w:val="000A094E"/>
    <w:rsid w:val="000A37BC"/>
    <w:rsid w:val="000A4997"/>
    <w:rsid w:val="000A7B2D"/>
    <w:rsid w:val="000B165F"/>
    <w:rsid w:val="000C2784"/>
    <w:rsid w:val="000C5E91"/>
    <w:rsid w:val="000C6C9A"/>
    <w:rsid w:val="000D0315"/>
    <w:rsid w:val="000D6F76"/>
    <w:rsid w:val="000E24E0"/>
    <w:rsid w:val="000F6C86"/>
    <w:rsid w:val="00101CEE"/>
    <w:rsid w:val="001022A9"/>
    <w:rsid w:val="0010323D"/>
    <w:rsid w:val="00125E7E"/>
    <w:rsid w:val="00126CB7"/>
    <w:rsid w:val="0014059F"/>
    <w:rsid w:val="00145452"/>
    <w:rsid w:val="0015104D"/>
    <w:rsid w:val="00152B19"/>
    <w:rsid w:val="001559E8"/>
    <w:rsid w:val="001636CC"/>
    <w:rsid w:val="0017537D"/>
    <w:rsid w:val="001836BE"/>
    <w:rsid w:val="0018627C"/>
    <w:rsid w:val="001A0C4F"/>
    <w:rsid w:val="001A1F98"/>
    <w:rsid w:val="001A44A0"/>
    <w:rsid w:val="001D5BCC"/>
    <w:rsid w:val="001E1804"/>
    <w:rsid w:val="0020379C"/>
    <w:rsid w:val="00203CAC"/>
    <w:rsid w:val="00204D94"/>
    <w:rsid w:val="00205011"/>
    <w:rsid w:val="002126B3"/>
    <w:rsid w:val="002164F8"/>
    <w:rsid w:val="00216848"/>
    <w:rsid w:val="00223C29"/>
    <w:rsid w:val="0023022C"/>
    <w:rsid w:val="002426E6"/>
    <w:rsid w:val="00246EC0"/>
    <w:rsid w:val="00250B9D"/>
    <w:rsid w:val="00256525"/>
    <w:rsid w:val="002644D4"/>
    <w:rsid w:val="00273A00"/>
    <w:rsid w:val="00273E01"/>
    <w:rsid w:val="00284996"/>
    <w:rsid w:val="002867C4"/>
    <w:rsid w:val="0028779F"/>
    <w:rsid w:val="0029227B"/>
    <w:rsid w:val="002C157E"/>
    <w:rsid w:val="002E2D1D"/>
    <w:rsid w:val="002F3B66"/>
    <w:rsid w:val="002F703C"/>
    <w:rsid w:val="00301D1B"/>
    <w:rsid w:val="0030386C"/>
    <w:rsid w:val="00304F79"/>
    <w:rsid w:val="00305902"/>
    <w:rsid w:val="003111CA"/>
    <w:rsid w:val="00314F1E"/>
    <w:rsid w:val="003200F1"/>
    <w:rsid w:val="003261B0"/>
    <w:rsid w:val="00330FBA"/>
    <w:rsid w:val="003320CA"/>
    <w:rsid w:val="00361703"/>
    <w:rsid w:val="0036200E"/>
    <w:rsid w:val="00362720"/>
    <w:rsid w:val="00370BA9"/>
    <w:rsid w:val="003745D0"/>
    <w:rsid w:val="00380292"/>
    <w:rsid w:val="00382189"/>
    <w:rsid w:val="003A06FC"/>
    <w:rsid w:val="003A0CCE"/>
    <w:rsid w:val="003A1709"/>
    <w:rsid w:val="003A339D"/>
    <w:rsid w:val="003C21AB"/>
    <w:rsid w:val="003C671C"/>
    <w:rsid w:val="003E3EB4"/>
    <w:rsid w:val="003E6CDB"/>
    <w:rsid w:val="003F2FF5"/>
    <w:rsid w:val="00403774"/>
    <w:rsid w:val="00417341"/>
    <w:rsid w:val="00425844"/>
    <w:rsid w:val="00427C1F"/>
    <w:rsid w:val="004320D4"/>
    <w:rsid w:val="00446442"/>
    <w:rsid w:val="00462F9D"/>
    <w:rsid w:val="00464CA2"/>
    <w:rsid w:val="00472A03"/>
    <w:rsid w:val="00477169"/>
    <w:rsid w:val="00484A0B"/>
    <w:rsid w:val="00487B3C"/>
    <w:rsid w:val="004A4377"/>
    <w:rsid w:val="004A6DA8"/>
    <w:rsid w:val="004B1627"/>
    <w:rsid w:val="004B4D43"/>
    <w:rsid w:val="004D3734"/>
    <w:rsid w:val="004F12B2"/>
    <w:rsid w:val="005044C3"/>
    <w:rsid w:val="005151A6"/>
    <w:rsid w:val="00556A2B"/>
    <w:rsid w:val="00557C12"/>
    <w:rsid w:val="00557F68"/>
    <w:rsid w:val="00567733"/>
    <w:rsid w:val="0057258A"/>
    <w:rsid w:val="0058035A"/>
    <w:rsid w:val="00590E3A"/>
    <w:rsid w:val="005A77E2"/>
    <w:rsid w:val="005B6FF1"/>
    <w:rsid w:val="005B70D2"/>
    <w:rsid w:val="005C36B7"/>
    <w:rsid w:val="005E6D73"/>
    <w:rsid w:val="005E7F0F"/>
    <w:rsid w:val="00600CAF"/>
    <w:rsid w:val="00610CAC"/>
    <w:rsid w:val="006220F0"/>
    <w:rsid w:val="00630E9E"/>
    <w:rsid w:val="00633CD2"/>
    <w:rsid w:val="00633DC7"/>
    <w:rsid w:val="00635004"/>
    <w:rsid w:val="00660132"/>
    <w:rsid w:val="006662C0"/>
    <w:rsid w:val="00672091"/>
    <w:rsid w:val="00681635"/>
    <w:rsid w:val="006905CA"/>
    <w:rsid w:val="00693350"/>
    <w:rsid w:val="006A44C4"/>
    <w:rsid w:val="006A78F8"/>
    <w:rsid w:val="006B1F37"/>
    <w:rsid w:val="006C1164"/>
    <w:rsid w:val="006C33F2"/>
    <w:rsid w:val="006C4725"/>
    <w:rsid w:val="006E2567"/>
    <w:rsid w:val="00706671"/>
    <w:rsid w:val="00742CC9"/>
    <w:rsid w:val="0075588B"/>
    <w:rsid w:val="007625E5"/>
    <w:rsid w:val="00762D71"/>
    <w:rsid w:val="00782D72"/>
    <w:rsid w:val="007B3D16"/>
    <w:rsid w:val="007B452A"/>
    <w:rsid w:val="007C23A9"/>
    <w:rsid w:val="007F2A21"/>
    <w:rsid w:val="007F4B72"/>
    <w:rsid w:val="007F644C"/>
    <w:rsid w:val="00806719"/>
    <w:rsid w:val="00807781"/>
    <w:rsid w:val="008244EE"/>
    <w:rsid w:val="00836F23"/>
    <w:rsid w:val="00841679"/>
    <w:rsid w:val="0086590F"/>
    <w:rsid w:val="00866F9E"/>
    <w:rsid w:val="00874EC4"/>
    <w:rsid w:val="00880F0E"/>
    <w:rsid w:val="008873D2"/>
    <w:rsid w:val="00895A57"/>
    <w:rsid w:val="008A2BF7"/>
    <w:rsid w:val="008A2F0F"/>
    <w:rsid w:val="008B6742"/>
    <w:rsid w:val="008C3E07"/>
    <w:rsid w:val="008C5F32"/>
    <w:rsid w:val="008D02B4"/>
    <w:rsid w:val="008E15D7"/>
    <w:rsid w:val="008E31C5"/>
    <w:rsid w:val="008F3300"/>
    <w:rsid w:val="0090118B"/>
    <w:rsid w:val="00951166"/>
    <w:rsid w:val="009640E6"/>
    <w:rsid w:val="0097095D"/>
    <w:rsid w:val="0097346F"/>
    <w:rsid w:val="009820B4"/>
    <w:rsid w:val="009A23C1"/>
    <w:rsid w:val="009B445E"/>
    <w:rsid w:val="009B59F9"/>
    <w:rsid w:val="009D34FE"/>
    <w:rsid w:val="009D5F9B"/>
    <w:rsid w:val="009F29CC"/>
    <w:rsid w:val="00A05284"/>
    <w:rsid w:val="00A05ECC"/>
    <w:rsid w:val="00A0615D"/>
    <w:rsid w:val="00A07DA1"/>
    <w:rsid w:val="00A1355A"/>
    <w:rsid w:val="00A16F3C"/>
    <w:rsid w:val="00A36292"/>
    <w:rsid w:val="00A45428"/>
    <w:rsid w:val="00A56EE0"/>
    <w:rsid w:val="00A756FC"/>
    <w:rsid w:val="00A8642B"/>
    <w:rsid w:val="00A974CE"/>
    <w:rsid w:val="00A97E31"/>
    <w:rsid w:val="00AB56E2"/>
    <w:rsid w:val="00AC4780"/>
    <w:rsid w:val="00AD2627"/>
    <w:rsid w:val="00AD5FA6"/>
    <w:rsid w:val="00AE231C"/>
    <w:rsid w:val="00AE49F0"/>
    <w:rsid w:val="00AF394F"/>
    <w:rsid w:val="00B029B4"/>
    <w:rsid w:val="00B071E1"/>
    <w:rsid w:val="00B1798B"/>
    <w:rsid w:val="00B207F5"/>
    <w:rsid w:val="00B27C28"/>
    <w:rsid w:val="00B30F19"/>
    <w:rsid w:val="00B445DC"/>
    <w:rsid w:val="00B4717B"/>
    <w:rsid w:val="00B52263"/>
    <w:rsid w:val="00B52E93"/>
    <w:rsid w:val="00B56C83"/>
    <w:rsid w:val="00B56D50"/>
    <w:rsid w:val="00B62202"/>
    <w:rsid w:val="00B821F1"/>
    <w:rsid w:val="00B84DB3"/>
    <w:rsid w:val="00B873E2"/>
    <w:rsid w:val="00B90A77"/>
    <w:rsid w:val="00B9189B"/>
    <w:rsid w:val="00BC2D03"/>
    <w:rsid w:val="00BE0D8F"/>
    <w:rsid w:val="00BE5F4E"/>
    <w:rsid w:val="00BF0790"/>
    <w:rsid w:val="00BF2A2C"/>
    <w:rsid w:val="00BF3AAB"/>
    <w:rsid w:val="00BF6AC2"/>
    <w:rsid w:val="00C12AB9"/>
    <w:rsid w:val="00C139D8"/>
    <w:rsid w:val="00C30CFE"/>
    <w:rsid w:val="00C44239"/>
    <w:rsid w:val="00C504E5"/>
    <w:rsid w:val="00C515FE"/>
    <w:rsid w:val="00C5417F"/>
    <w:rsid w:val="00C556D1"/>
    <w:rsid w:val="00C611A4"/>
    <w:rsid w:val="00C61D9E"/>
    <w:rsid w:val="00C634CA"/>
    <w:rsid w:val="00C668AE"/>
    <w:rsid w:val="00C669A2"/>
    <w:rsid w:val="00C744C9"/>
    <w:rsid w:val="00C94DA1"/>
    <w:rsid w:val="00CA4301"/>
    <w:rsid w:val="00CA4C42"/>
    <w:rsid w:val="00CB2BC4"/>
    <w:rsid w:val="00CC7BD7"/>
    <w:rsid w:val="00CC7D30"/>
    <w:rsid w:val="00CD4227"/>
    <w:rsid w:val="00CD64C5"/>
    <w:rsid w:val="00D2122C"/>
    <w:rsid w:val="00D43DF8"/>
    <w:rsid w:val="00D4536E"/>
    <w:rsid w:val="00D470C9"/>
    <w:rsid w:val="00D816F2"/>
    <w:rsid w:val="00D95D33"/>
    <w:rsid w:val="00DA4237"/>
    <w:rsid w:val="00DA437F"/>
    <w:rsid w:val="00DB7217"/>
    <w:rsid w:val="00DC4C7D"/>
    <w:rsid w:val="00DD0907"/>
    <w:rsid w:val="00DD18F5"/>
    <w:rsid w:val="00E16D9D"/>
    <w:rsid w:val="00E25C30"/>
    <w:rsid w:val="00E275F8"/>
    <w:rsid w:val="00E51451"/>
    <w:rsid w:val="00E65CB0"/>
    <w:rsid w:val="00E66E56"/>
    <w:rsid w:val="00E82549"/>
    <w:rsid w:val="00E84C26"/>
    <w:rsid w:val="00E964AB"/>
    <w:rsid w:val="00EB26D2"/>
    <w:rsid w:val="00EB3042"/>
    <w:rsid w:val="00EB3F85"/>
    <w:rsid w:val="00EB4B9F"/>
    <w:rsid w:val="00ED6C7F"/>
    <w:rsid w:val="00EE0B3D"/>
    <w:rsid w:val="00EE0D51"/>
    <w:rsid w:val="00EE23DF"/>
    <w:rsid w:val="00EF59D0"/>
    <w:rsid w:val="00F10BD7"/>
    <w:rsid w:val="00F16F2E"/>
    <w:rsid w:val="00F179E9"/>
    <w:rsid w:val="00F21D0E"/>
    <w:rsid w:val="00F26883"/>
    <w:rsid w:val="00F33288"/>
    <w:rsid w:val="00F40DB7"/>
    <w:rsid w:val="00F50AE1"/>
    <w:rsid w:val="00F50E1B"/>
    <w:rsid w:val="00F72F4C"/>
    <w:rsid w:val="00F74557"/>
    <w:rsid w:val="00F86F0B"/>
    <w:rsid w:val="00FA65C6"/>
    <w:rsid w:val="00FC0BEE"/>
    <w:rsid w:val="00FC1360"/>
    <w:rsid w:val="00FC1749"/>
    <w:rsid w:val="00FC47BC"/>
    <w:rsid w:val="00FD1E45"/>
    <w:rsid w:val="00FF570C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E"/>
  </w:style>
  <w:style w:type="paragraph" w:styleId="2">
    <w:name w:val="heading 2"/>
    <w:basedOn w:val="a"/>
    <w:next w:val="a"/>
    <w:link w:val="20"/>
    <w:uiPriority w:val="9"/>
    <w:unhideWhenUsed/>
    <w:qFormat/>
    <w:rsid w:val="007F2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00E"/>
  </w:style>
  <w:style w:type="paragraph" w:styleId="a5">
    <w:name w:val="footer"/>
    <w:basedOn w:val="a"/>
    <w:link w:val="a6"/>
    <w:uiPriority w:val="99"/>
    <w:unhideWhenUsed/>
    <w:rsid w:val="0036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00E"/>
  </w:style>
  <w:style w:type="paragraph" w:styleId="a7">
    <w:name w:val="List Paragraph"/>
    <w:basedOn w:val="a"/>
    <w:uiPriority w:val="34"/>
    <w:qFormat/>
    <w:rsid w:val="006B1F37"/>
    <w:pPr>
      <w:ind w:left="720"/>
      <w:contextualSpacing/>
    </w:pPr>
  </w:style>
  <w:style w:type="table" w:styleId="a8">
    <w:name w:val="Table Grid"/>
    <w:basedOn w:val="a1"/>
    <w:uiPriority w:val="59"/>
    <w:rsid w:val="00A5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16848"/>
    <w:pPr>
      <w:spacing w:after="0" w:line="240" w:lineRule="auto"/>
    </w:pPr>
  </w:style>
  <w:style w:type="paragraph" w:customStyle="1" w:styleId="aa">
    <w:name w:val="Базовий"/>
    <w:uiPriority w:val="99"/>
    <w:rsid w:val="008E15D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BF2A2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">
    <w:name w:val="Текст Знак"/>
    <w:basedOn w:val="a0"/>
    <w:link w:val="ab"/>
    <w:rsid w:val="00BF2A2C"/>
    <w:rPr>
      <w:rFonts w:ascii="Courier New" w:eastAsia="Times New Roman" w:hAnsi="Courier New" w:cs="Times New Roman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7F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E"/>
  </w:style>
  <w:style w:type="paragraph" w:styleId="2">
    <w:name w:val="heading 2"/>
    <w:basedOn w:val="a"/>
    <w:next w:val="a"/>
    <w:link w:val="20"/>
    <w:uiPriority w:val="9"/>
    <w:unhideWhenUsed/>
    <w:qFormat/>
    <w:rsid w:val="007F2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00E"/>
  </w:style>
  <w:style w:type="paragraph" w:styleId="a5">
    <w:name w:val="footer"/>
    <w:basedOn w:val="a"/>
    <w:link w:val="a6"/>
    <w:uiPriority w:val="99"/>
    <w:unhideWhenUsed/>
    <w:rsid w:val="0036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00E"/>
  </w:style>
  <w:style w:type="paragraph" w:styleId="a7">
    <w:name w:val="List Paragraph"/>
    <w:basedOn w:val="a"/>
    <w:uiPriority w:val="34"/>
    <w:qFormat/>
    <w:rsid w:val="006B1F37"/>
    <w:pPr>
      <w:ind w:left="720"/>
      <w:contextualSpacing/>
    </w:pPr>
  </w:style>
  <w:style w:type="table" w:styleId="a8">
    <w:name w:val="Table Grid"/>
    <w:basedOn w:val="a1"/>
    <w:uiPriority w:val="59"/>
    <w:rsid w:val="00A5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16848"/>
    <w:pPr>
      <w:spacing w:after="0" w:line="240" w:lineRule="auto"/>
    </w:pPr>
  </w:style>
  <w:style w:type="paragraph" w:customStyle="1" w:styleId="aa">
    <w:name w:val="Базовий"/>
    <w:uiPriority w:val="99"/>
    <w:rsid w:val="008E15D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BF2A2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">
    <w:name w:val="Текст Знак"/>
    <w:basedOn w:val="a0"/>
    <w:link w:val="ab"/>
    <w:rsid w:val="00BF2A2C"/>
    <w:rPr>
      <w:rFonts w:ascii="Courier New" w:eastAsia="Times New Roman" w:hAnsi="Courier New" w:cs="Times New Roman"/>
      <w:color w:val="000000"/>
      <w:sz w:val="20"/>
      <w:szCs w:val="20"/>
      <w:lang w:val="fr-FR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rsid w:val="007F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67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j.jsha.2015.05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8C990-3786-496F-81C0-91E1F369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user838383892</cp:lastModifiedBy>
  <cp:revision>3</cp:revision>
  <cp:lastPrinted>2016-03-17T09:42:00Z</cp:lastPrinted>
  <dcterms:created xsi:type="dcterms:W3CDTF">2016-06-07T09:40:00Z</dcterms:created>
  <dcterms:modified xsi:type="dcterms:W3CDTF">2016-09-27T07:42:00Z</dcterms:modified>
</cp:coreProperties>
</file>