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24" w:rsidRPr="00E16024" w:rsidRDefault="00E16024" w:rsidP="00E16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UDC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16024">
        <w:rPr>
          <w:rFonts w:ascii="Times New Roman" w:hAnsi="Times New Roman" w:cs="Times New Roman"/>
          <w:b/>
          <w:sz w:val="28"/>
          <w:szCs w:val="28"/>
          <w:lang w:val="en-US"/>
        </w:rPr>
        <w:t>616-007-053.1 616-089.844 616-08-039.76</w:t>
      </w:r>
    </w:p>
    <w:p w:rsidR="00CA335E" w:rsidRPr="00E40300" w:rsidRDefault="00CA335E" w:rsidP="00CA335E">
      <w:pPr>
        <w:pStyle w:val="ParaAttribute0"/>
        <w:spacing w:line="360" w:lineRule="auto"/>
        <w:rPr>
          <w:rFonts w:eastAsia="Times New Roman"/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RESULTS OF SURGICAL TREATMENT OF PATIENTS WITH VENTRICULAR SEPTAL DEFECT COMBINED WITH SUBAORTIC STENOSIS </w:t>
      </w:r>
    </w:p>
    <w:p w:rsidR="00CA335E" w:rsidRPr="003B64A7" w:rsidRDefault="00CA335E" w:rsidP="00CA335E">
      <w:pPr>
        <w:pStyle w:val="ParaAttribute0"/>
        <w:spacing w:line="360" w:lineRule="auto"/>
        <w:rPr>
          <w:rStyle w:val="CharAttribute1"/>
          <w:rFonts w:eastAsia="Batang"/>
          <w:szCs w:val="28"/>
          <w:vertAlign w:val="superscript"/>
        </w:rPr>
      </w:pPr>
      <w:proofErr w:type="spellStart"/>
      <w:r>
        <w:rPr>
          <w:rStyle w:val="CharAttribute1"/>
          <w:rFonts w:eastAsia="Batang"/>
          <w:szCs w:val="28"/>
          <w:lang w:val="en-US"/>
        </w:rPr>
        <w:t>Prorok</w:t>
      </w:r>
      <w:proofErr w:type="spellEnd"/>
      <w:r>
        <w:rPr>
          <w:rStyle w:val="CharAttribute1"/>
          <w:rFonts w:eastAsia="Batang"/>
          <w:szCs w:val="28"/>
          <w:lang w:val="en-US"/>
        </w:rPr>
        <w:t xml:space="preserve"> S.Y.</w:t>
      </w:r>
      <w:r w:rsidRPr="00CA335E">
        <w:rPr>
          <w:rStyle w:val="CharAttribute1"/>
          <w:rFonts w:eastAsia="Batang"/>
          <w:szCs w:val="28"/>
          <w:vertAlign w:val="superscript"/>
          <w:lang w:val="en-US"/>
        </w:rPr>
        <w:t>1</w:t>
      </w:r>
      <w:r>
        <w:rPr>
          <w:rStyle w:val="CharAttribute1"/>
          <w:rFonts w:eastAsia="Batang"/>
          <w:szCs w:val="28"/>
          <w:lang w:val="en-US"/>
        </w:rPr>
        <w:t xml:space="preserve">, </w:t>
      </w:r>
      <w:r w:rsidRPr="00E40300">
        <w:rPr>
          <w:rStyle w:val="CharAttribute1"/>
          <w:rFonts w:eastAsia="Batang"/>
          <w:szCs w:val="28"/>
          <w:lang w:val="en-US"/>
        </w:rPr>
        <w:t>Segal E.V.</w:t>
      </w:r>
      <w:r w:rsidRPr="00CA335E">
        <w:rPr>
          <w:rStyle w:val="CharAttribute1"/>
          <w:rFonts w:eastAsia="Batang"/>
          <w:szCs w:val="28"/>
          <w:vertAlign w:val="superscript"/>
          <w:lang w:val="en-US"/>
        </w:rPr>
        <w:t>1</w:t>
      </w:r>
      <w:r w:rsidRPr="00E40300">
        <w:rPr>
          <w:rStyle w:val="CharAttribute1"/>
          <w:rFonts w:eastAsia="Batang"/>
          <w:szCs w:val="28"/>
          <w:lang w:val="en-US"/>
        </w:rPr>
        <w:t xml:space="preserve">,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Serdenko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B.B.</w:t>
      </w:r>
      <w:r w:rsidRPr="00CA335E">
        <w:rPr>
          <w:rStyle w:val="CharAttribute1"/>
          <w:rFonts w:eastAsia="Batang"/>
          <w:szCs w:val="28"/>
          <w:vertAlign w:val="superscript"/>
          <w:lang w:val="en-US"/>
        </w:rPr>
        <w:t>2</w:t>
      </w:r>
    </w:p>
    <w:p w:rsidR="00CA335E" w:rsidRPr="003B64A7" w:rsidRDefault="00CA335E" w:rsidP="00CA335E">
      <w:pPr>
        <w:pStyle w:val="ParaAttribute0"/>
        <w:spacing w:line="360" w:lineRule="auto"/>
        <w:rPr>
          <w:rFonts w:eastAsia="Times New Roman"/>
          <w:sz w:val="28"/>
          <w:szCs w:val="28"/>
          <w:lang w:val="en-US"/>
        </w:rPr>
      </w:pPr>
    </w:p>
    <w:p w:rsidR="003B64A7" w:rsidRPr="003B64A7" w:rsidRDefault="003B64A7" w:rsidP="003B64A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64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3B64A7">
        <w:rPr>
          <w:rFonts w:ascii="Times New Roman" w:eastAsia="Times New Roman" w:hAnsi="Times New Roman" w:cs="Times New Roman"/>
          <w:sz w:val="28"/>
          <w:szCs w:val="28"/>
          <w:lang w:val="en-US"/>
        </w:rPr>
        <w:t>Ukrainian Children Cardiac Center, Kiev</w:t>
      </w:r>
    </w:p>
    <w:p w:rsidR="003B64A7" w:rsidRPr="003B64A7" w:rsidRDefault="003B64A7" w:rsidP="003B64A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64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B64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National Medical Academy of Postgraduate Study named by P.L. </w:t>
      </w:r>
      <w:proofErr w:type="spellStart"/>
      <w:r w:rsidRPr="003B64A7">
        <w:rPr>
          <w:rFonts w:ascii="Times New Roman" w:eastAsia="Times New Roman" w:hAnsi="Times New Roman" w:cs="Times New Roman"/>
          <w:sz w:val="28"/>
          <w:szCs w:val="28"/>
          <w:lang w:val="en-US"/>
        </w:rPr>
        <w:t>Shupik</w:t>
      </w:r>
      <w:proofErr w:type="spellEnd"/>
    </w:p>
    <w:p w:rsidR="00CA335E" w:rsidRPr="00E40300" w:rsidRDefault="00CA335E" w:rsidP="00CA335E">
      <w:pPr>
        <w:pStyle w:val="ParaAttribute1"/>
        <w:spacing w:line="360" w:lineRule="auto"/>
        <w:rPr>
          <w:rFonts w:eastAsia="Calibri"/>
          <w:sz w:val="28"/>
          <w:szCs w:val="28"/>
          <w:lang w:val="en-US"/>
        </w:rPr>
      </w:pPr>
    </w:p>
    <w:p w:rsidR="00CA335E" w:rsidRPr="00E40300" w:rsidRDefault="00CA335E" w:rsidP="00CA335E">
      <w:pPr>
        <w:pStyle w:val="ParaAttribute2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During the period from 2004 to 2013 years, we operated 52 patients with ventricular septal defect (VSD) in combination with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subaortic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stenosis (SAS).</w:t>
      </w:r>
    </w:p>
    <w:p w:rsidR="00CA335E" w:rsidRPr="00E40300" w:rsidRDefault="00CA335E" w:rsidP="00CA335E">
      <w:pPr>
        <w:pStyle w:val="ParaAttribute2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There were no lethal cases. The early results were good in 47 patients (90.3%), 2 (3.8%) cases – satisfactory, 3 (5.7%) patients – unsatisfactory. The good long-term results were obtained in 38 (73.0%) patients, 3 (5.7%) cases – satisfactory. </w:t>
      </w:r>
      <w:proofErr w:type="gramStart"/>
      <w:r w:rsidRPr="00E40300">
        <w:rPr>
          <w:rStyle w:val="CharAttribute1"/>
          <w:rFonts w:eastAsia="Batang"/>
          <w:szCs w:val="28"/>
          <w:lang w:val="en-US"/>
        </w:rPr>
        <w:t>Unsatisfactory results was</w:t>
      </w:r>
      <w:proofErr w:type="gramEnd"/>
      <w:r w:rsidRPr="00E40300">
        <w:rPr>
          <w:rStyle w:val="CharAttribute1"/>
          <w:rFonts w:eastAsia="Batang"/>
          <w:szCs w:val="28"/>
          <w:lang w:val="en-US"/>
        </w:rPr>
        <w:t xml:space="preserve"> obtained in 6 (11.5%) patients.</w:t>
      </w:r>
    </w:p>
    <w:p w:rsidR="00CA335E" w:rsidRPr="00E40300" w:rsidRDefault="00CA335E" w:rsidP="00CA335E">
      <w:pPr>
        <w:pStyle w:val="ParaAttribute2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VSD and SAS repair with minimal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AoV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insufficiency provides good long-term outcome with LVOT maximum pressure gradient lower than 20mmHg and preservation of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AoV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function in 73% and is independent on type of surgery. Reoperation rate associated with recurrent LVOT obstruction was 5.7%.</w:t>
      </w:r>
    </w:p>
    <w:p w:rsidR="00CA335E" w:rsidRPr="00E40300" w:rsidRDefault="00CA335E" w:rsidP="00CA335E">
      <w:pPr>
        <w:pStyle w:val="ParaAttribute2"/>
        <w:spacing w:line="360" w:lineRule="auto"/>
        <w:rPr>
          <w:rFonts w:eastAsia="Times New Roman"/>
          <w:b/>
          <w:sz w:val="28"/>
          <w:szCs w:val="28"/>
          <w:lang w:val="en-US"/>
        </w:rPr>
      </w:pPr>
    </w:p>
    <w:p w:rsidR="00CA335E" w:rsidRPr="00E40300" w:rsidRDefault="00CA335E" w:rsidP="00CA335E">
      <w:pPr>
        <w:pStyle w:val="ParaAttribute2"/>
        <w:spacing w:line="360" w:lineRule="auto"/>
        <w:rPr>
          <w:rFonts w:eastAsia="Times New Roman"/>
          <w:sz w:val="28"/>
          <w:szCs w:val="28"/>
        </w:rPr>
      </w:pPr>
      <w:r w:rsidRPr="00135D44">
        <w:rPr>
          <w:rStyle w:val="CharAttribute4"/>
          <w:rFonts w:eastAsia="Batang"/>
          <w:szCs w:val="28"/>
          <w:lang w:val="en-US"/>
        </w:rPr>
        <w:t>Keywords:</w:t>
      </w:r>
      <w:r w:rsidRPr="00E40300">
        <w:rPr>
          <w:rStyle w:val="CharAttribute1"/>
          <w:rFonts w:eastAsia="Batang"/>
          <w:szCs w:val="28"/>
          <w:lang w:val="en-US"/>
        </w:rPr>
        <w:t xml:space="preserve"> </w:t>
      </w:r>
      <w:r w:rsidRPr="00E40300">
        <w:rPr>
          <w:rStyle w:val="CharAttribute5"/>
          <w:rFonts w:eastAsia="Batang"/>
          <w:szCs w:val="28"/>
          <w:lang w:val="en-US"/>
        </w:rPr>
        <w:t xml:space="preserve">congenital heart disease, </w:t>
      </w:r>
      <w:proofErr w:type="spellStart"/>
      <w:r w:rsidRPr="00E40300">
        <w:rPr>
          <w:rStyle w:val="CharAttribute5"/>
          <w:rFonts w:eastAsia="Batang"/>
          <w:szCs w:val="28"/>
          <w:lang w:val="en-US"/>
        </w:rPr>
        <w:t>subaortic</w:t>
      </w:r>
      <w:proofErr w:type="spellEnd"/>
      <w:r w:rsidRPr="00E40300">
        <w:rPr>
          <w:rStyle w:val="CharAttribute5"/>
          <w:rFonts w:eastAsia="Batang"/>
          <w:szCs w:val="28"/>
          <w:lang w:val="en-US"/>
        </w:rPr>
        <w:t xml:space="preserve"> stenosis, ventricular septal defect.</w:t>
      </w:r>
    </w:p>
    <w:p w:rsidR="00CA335E" w:rsidRPr="00E40300" w:rsidRDefault="00CA335E" w:rsidP="00CA335E">
      <w:pPr>
        <w:pStyle w:val="ParaAttribute2"/>
        <w:spacing w:line="360" w:lineRule="auto"/>
        <w:rPr>
          <w:rFonts w:eastAsia="Times New Roman"/>
          <w:b/>
          <w:sz w:val="28"/>
          <w:szCs w:val="28"/>
          <w:lang w:val="en-US"/>
        </w:rPr>
      </w:pPr>
    </w:p>
    <w:p w:rsidR="00CA335E" w:rsidRPr="00E40300" w:rsidRDefault="00CA335E" w:rsidP="00CA335E">
      <w:pPr>
        <w:pStyle w:val="ParaAttribute3"/>
        <w:spacing w:line="360" w:lineRule="auto"/>
        <w:rPr>
          <w:sz w:val="28"/>
          <w:szCs w:val="28"/>
        </w:rPr>
      </w:pPr>
      <w:proofErr w:type="gramStart"/>
      <w:r w:rsidRPr="00E40300">
        <w:rPr>
          <w:rStyle w:val="CharAttribute4"/>
          <w:rFonts w:eastAsia="Batang"/>
          <w:szCs w:val="28"/>
          <w:lang w:val="en-US"/>
        </w:rPr>
        <w:t>Introduction.</w:t>
      </w:r>
      <w:proofErr w:type="gramEnd"/>
      <w:r w:rsidRPr="00E40300">
        <w:rPr>
          <w:rStyle w:val="CharAttribute4"/>
          <w:rFonts w:eastAsia="Batang"/>
          <w:szCs w:val="28"/>
          <w:lang w:val="en-US"/>
        </w:rPr>
        <w:t xml:space="preserve"> </w:t>
      </w:r>
      <w:r w:rsidRPr="00E40300">
        <w:rPr>
          <w:rStyle w:val="CharAttribute1"/>
          <w:rFonts w:eastAsia="Batang"/>
          <w:szCs w:val="28"/>
          <w:lang w:val="en-US"/>
        </w:rPr>
        <w:t xml:space="preserve">Ventricular septal defect (VSD) is one of the most frequent congenital heart </w:t>
      </w:r>
      <w:proofErr w:type="gramStart"/>
      <w:r w:rsidRPr="00E40300">
        <w:rPr>
          <w:rStyle w:val="CharAttribute1"/>
          <w:rFonts w:eastAsia="Batang"/>
          <w:szCs w:val="28"/>
          <w:lang w:val="en-US"/>
        </w:rPr>
        <w:t>disease</w:t>
      </w:r>
      <w:proofErr w:type="gramEnd"/>
      <w:r w:rsidRPr="00E40300">
        <w:rPr>
          <w:rStyle w:val="CharAttribute1"/>
          <w:rFonts w:eastAsia="Batang"/>
          <w:szCs w:val="28"/>
          <w:lang w:val="en-US"/>
        </w:rPr>
        <w:t xml:space="preserve"> (20% of all congenital heart defects) with well understood natural course and treatment. But concomitant lesions can complicate treatment strategy and long-term results prediction.</w:t>
      </w:r>
    </w:p>
    <w:p w:rsidR="00CA335E" w:rsidRPr="00E40300" w:rsidRDefault="00CA335E" w:rsidP="00CA335E">
      <w:pPr>
        <w:pStyle w:val="ParaAttribute3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By hemodynamic theory, turbulent blood flow and increased left-to-right shunting through VSD due to obstruction of left ventricular outflow tract (LVOT) are reasons of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subaortic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stenosis (SAS) development. So it is beneficial to study results of surgical treatment of patients with VSD and SAS combination. </w:t>
      </w:r>
      <w:r w:rsidRPr="00E40300">
        <w:rPr>
          <w:rStyle w:val="CharAttribute1"/>
          <w:rFonts w:eastAsia="Batang"/>
          <w:szCs w:val="28"/>
          <w:lang w:val="en-US"/>
        </w:rPr>
        <w:lastRenderedPageBreak/>
        <w:t>Reoperation rate of isolated SAS is 14-19%, so it is advantageous to study reoperation rate of obstruction LVOT, after eliminating probable provoking factor of its development – anomalous turbulent blood flow through the VSD [6, 7].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4"/>
          <w:rFonts w:eastAsia="Batang"/>
          <w:szCs w:val="28"/>
          <w:lang w:val="en-US"/>
        </w:rPr>
        <w:t xml:space="preserve">Purpose of study is </w:t>
      </w:r>
      <w:r w:rsidRPr="00E40300">
        <w:rPr>
          <w:rStyle w:val="CharAttribute1"/>
          <w:rFonts w:eastAsia="Batang"/>
          <w:szCs w:val="28"/>
          <w:lang w:val="en-US"/>
        </w:rPr>
        <w:t xml:space="preserve">to review the experience of surgical treatment of patients with ventricular septal defect and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subaortic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stenosis.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proofErr w:type="gramStart"/>
      <w:r w:rsidRPr="00E40300">
        <w:rPr>
          <w:rStyle w:val="CharAttribute4"/>
          <w:rFonts w:eastAsia="Batang"/>
          <w:szCs w:val="28"/>
          <w:lang w:val="en-US"/>
        </w:rPr>
        <w:t>Material and methods.</w:t>
      </w:r>
      <w:proofErr w:type="gramEnd"/>
      <w:r w:rsidRPr="00E40300">
        <w:rPr>
          <w:rStyle w:val="CharAttribute1"/>
          <w:rFonts w:eastAsia="Batang"/>
          <w:szCs w:val="28"/>
          <w:lang w:val="en-US"/>
        </w:rPr>
        <w:t xml:space="preserve"> We have operated 52 patients with VSD and SAS combination from 2004 to 2013yy.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>The average age of the patients was 34±57 months (from 1 month to 204 months), the average weight – 12±14 kg (from 3kg to 58kg). There were 37 (71.2%) male and 15 (28.8%) female patients.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Comorbidities at the time revealing SAS included pulmonary stenosis (PS) – in 6 (11.5%) patients,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coarctation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of the aorta (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CoAo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) – in 5 (9.6%),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aortopulmonary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window – in 1 (1.9%) atrioventricular defect – in 1 (1.9%).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Previous interventions were performed in 5 (9.6%) patients: balloon dilatation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CoAo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– in 2 cases, banding of pulmonary artery (PAB) and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CoAo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repair – in 1, PAB with aortic arch interruption repair – in 1 and 1 patient received PAB. All patients had no signs of SAS at the time of previous interventions.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There were 31 (59.6%) patient with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perimembranous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VDSs, 19 (36.6%) –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subaortic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>, 1 (1.9%) – inlet and 1 (1.9%) with muscle defect. The average size of defect was 6±1.9mm (from 4mm to 12mm).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>The presence of SAS was confirmed by echocardiography. Echo findings correlated with intraoperative findings in all cases. Preoperative gradient on LVOT ranged from 5 to 70mmHg, average of 20±39mmHg.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>Discrete form of SAS observed in 43 (82.7%) patients, tunnel form – in 3 (5</w:t>
      </w:r>
      <w:proofErr w:type="gramStart"/>
      <w:r w:rsidRPr="00E40300">
        <w:rPr>
          <w:rStyle w:val="CharAttribute1"/>
          <w:rFonts w:eastAsia="Batang"/>
          <w:szCs w:val="28"/>
          <w:lang w:val="en-US"/>
        </w:rPr>
        <w:t>,8</w:t>
      </w:r>
      <w:proofErr w:type="gramEnd"/>
      <w:r w:rsidRPr="00E40300">
        <w:rPr>
          <w:rStyle w:val="CharAttribute1"/>
          <w:rFonts w:eastAsia="Batang"/>
          <w:szCs w:val="28"/>
          <w:lang w:val="en-US"/>
        </w:rPr>
        <w:t>%), SAS, due to the additional tissue of mitral valve – in 1 (1.9%) and SAS because of the interventricular septum malposition – 5 (9.6%).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>Aortic valve (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AoV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>) insufficiency was found in 11 (21.1%) patients: mild insufficiency – in 8 (15.3%), moderate insufficiency – in 3 (5.8%).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>Indications for surgery in 50 (96.1%) cases were hemodynamic changes caused by VSD and co-morbidities, and only in 2 (3.8%) – the severity of SAS.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lastRenderedPageBreak/>
        <w:t xml:space="preserve">Operative technique was chosen by surgeon intraoperatively according to the anatomical features of SAS and comorbidities. A typical SAS resection was performed in 46 (88.4%) cases, SAS resection with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myoectomy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– in 6 (11.5%) patients.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The efficiency of LVOT obstruction removal assessed with largest value of </w:t>
      </w:r>
      <w:proofErr w:type="spellStart"/>
      <w:proofErr w:type="gramStart"/>
      <w:r w:rsidRPr="00E40300">
        <w:rPr>
          <w:rStyle w:val="CharAttribute1"/>
          <w:rFonts w:eastAsia="Batang"/>
          <w:szCs w:val="28"/>
          <w:lang w:val="en-US"/>
        </w:rPr>
        <w:t>Δp</w:t>
      </w:r>
      <w:proofErr w:type="spellEnd"/>
      <w:proofErr w:type="gramEnd"/>
      <w:r w:rsidRPr="00E40300">
        <w:rPr>
          <w:rStyle w:val="CharAttribute1"/>
          <w:rFonts w:eastAsia="Batang"/>
          <w:szCs w:val="28"/>
          <w:lang w:val="en-US"/>
        </w:rPr>
        <w:t xml:space="preserve"> by Echo: 20mmHg – good, 21-40mmHg – satisfactory and 41-90mmHg – poor [1].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proofErr w:type="spellStart"/>
      <w:r w:rsidRPr="00E40300">
        <w:rPr>
          <w:rStyle w:val="CharAttribute1"/>
          <w:rFonts w:eastAsia="Batang"/>
          <w:szCs w:val="28"/>
          <w:lang w:val="en-US"/>
        </w:rPr>
        <w:t>AoV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plasty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was performed in 6 (11.5%) cases: 4 (7.7%) patients underwent non-coronary leaflet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plasty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by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Trasler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, 1 (1.9%) patient –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subcommissural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annuloplasty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and 1 (1.9%) patient treated with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commissurotomy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>.</w:t>
      </w:r>
    </w:p>
    <w:p w:rsidR="00CA335E" w:rsidRPr="00E40300" w:rsidRDefault="00CA335E" w:rsidP="00CA335E">
      <w:pPr>
        <w:pStyle w:val="ParaAttribute2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ab/>
        <w:t xml:space="preserve"> Comorbidities were repaired by standard techniques.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proofErr w:type="gramStart"/>
      <w:r w:rsidRPr="00E40300">
        <w:rPr>
          <w:rStyle w:val="CharAttribute4"/>
          <w:rFonts w:eastAsia="Batang"/>
          <w:szCs w:val="28"/>
          <w:lang w:val="en-US"/>
        </w:rPr>
        <w:t>Results.</w:t>
      </w:r>
      <w:proofErr w:type="gramEnd"/>
      <w:r w:rsidRPr="00E40300">
        <w:rPr>
          <w:rStyle w:val="CharAttribute1"/>
          <w:rFonts w:eastAsia="Batang"/>
          <w:szCs w:val="28"/>
          <w:lang w:val="en-US"/>
        </w:rPr>
        <w:t xml:space="preserve"> There were no lethal cases. There were complications in 3 patients with SAS, VSD,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CoAo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combination: 1 (1.9%) patient had complete AV-block treated with pacemaker implantation; 1 (1.9%) patient had severe failure with transient, resistant to external stimulation, AV-block, which required extracorporeal membrane oxygenation for 2 days; 1 (1.9%) patient had necrotizing enterocolitis III B with perforation and peritonitis, treated by ileostomy formation and ulcers suturing.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The early results of SAS elimination are independent on type of surgery and were good in 47 (90.3%) patients. Pressure gradient on LVOT was lower than 20mmHg,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AoV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insufficiency was absent in 39 (75%) and mild – in 13 (25%) patients.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In 2 (3.8%) cases pressure gradient was lower than 20 mmHg, but significant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AoV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insufficiency was observed</w:t>
      </w:r>
      <w:r w:rsidRPr="00E40300">
        <w:rPr>
          <w:rStyle w:val="CharAttribute1"/>
          <w:rFonts w:eastAsia="Batang"/>
          <w:szCs w:val="28"/>
        </w:rPr>
        <w:t xml:space="preserve">. </w:t>
      </w:r>
      <w:r w:rsidRPr="00E40300">
        <w:rPr>
          <w:rStyle w:val="CharAttribute1"/>
          <w:rFonts w:eastAsia="Batang"/>
          <w:szCs w:val="28"/>
          <w:lang w:val="en-US"/>
        </w:rPr>
        <w:t xml:space="preserve">In 1 (1.9%) patient insufficiency progressed from mild to moderate and in 1 (1.9%) patient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AoV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insufficiency remained moderate after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Trasler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AoV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plasty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>. Those were satisfactory results.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Unsatisfactory result obtained in 3 (5.7%) patients. In 1 (1.9%) patient with SAS, VSD and PS postoperative pressure gradient was 66mmHg due to severe hypertrophy of interventricular septum and dynamic obstruction. In 2 (3.8%) cases with SAS, VSD and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CoAo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postoperative pressure gradient raised from 10mmHg to </w:t>
      </w:r>
      <w:r w:rsidRPr="00E40300">
        <w:rPr>
          <w:rStyle w:val="CharAttribute1"/>
          <w:rFonts w:eastAsia="Batang"/>
          <w:szCs w:val="28"/>
          <w:lang w:val="en-US"/>
        </w:rPr>
        <w:lastRenderedPageBreak/>
        <w:t>50mmHg and from 33mmHg to 67mmHg respectively due to left ventricular hypertrophy. In all three cases were managed conservatively with β-blockers in age doses.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Long-term results were studied in 47 (90.3%) </w:t>
      </w:r>
      <w:proofErr w:type="gramStart"/>
      <w:r w:rsidRPr="00E40300">
        <w:rPr>
          <w:rStyle w:val="CharAttribute1"/>
          <w:rFonts w:eastAsia="Batang"/>
          <w:szCs w:val="28"/>
          <w:lang w:val="en-US"/>
        </w:rPr>
        <w:t>patients,</w:t>
      </w:r>
      <w:proofErr w:type="gramEnd"/>
      <w:r w:rsidRPr="00E40300">
        <w:rPr>
          <w:rStyle w:val="CharAttribute1"/>
          <w:rFonts w:eastAsia="Batang"/>
          <w:szCs w:val="28"/>
          <w:lang w:val="en-US"/>
        </w:rPr>
        <w:t xml:space="preserve"> average observation period was 45±32 months (from 6 months to 115 months).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In the late period, independent on the type of surgery, a good result was obtained in 38 (73.0%) </w:t>
      </w:r>
      <w:proofErr w:type="gramStart"/>
      <w:r w:rsidRPr="00E40300">
        <w:rPr>
          <w:rStyle w:val="CharAttribute1"/>
          <w:rFonts w:eastAsia="Batang"/>
          <w:szCs w:val="28"/>
          <w:lang w:val="en-US"/>
        </w:rPr>
        <w:t>patients,</w:t>
      </w:r>
      <w:proofErr w:type="gramEnd"/>
      <w:r w:rsidRPr="00E40300">
        <w:rPr>
          <w:rStyle w:val="CharAttribute1"/>
          <w:rFonts w:eastAsia="Batang"/>
          <w:szCs w:val="28"/>
          <w:lang w:val="en-US"/>
        </w:rPr>
        <w:t xml:space="preserve"> residual gradient does not exceed 20mmHg. We observed gradual regression of residual pressure gradient from 66 to 20mmHg over 115 months in patient with SAS, VSD, PS.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Three (5.7%) cases showed satisfactory results. In 1 (1.9%) patient with VSD and tunnel form of SAS and in 1 (1.9%) patient with SAS, VSD and PS after a long time of observation (58 and 79 months respectively) was noted growth of the pressure gradient to 30 and 33mmHg respectively. In 1 (1.9%) patient with SAS, VSD and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CoAo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gradual regression of LVOT pressure gradient was </w:t>
      </w:r>
      <w:proofErr w:type="gramStart"/>
      <w:r w:rsidRPr="00E40300">
        <w:rPr>
          <w:rStyle w:val="CharAttribute1"/>
          <w:rFonts w:eastAsia="Batang"/>
          <w:szCs w:val="28"/>
          <w:lang w:val="en-US"/>
        </w:rPr>
        <w:t>observed  from</w:t>
      </w:r>
      <w:proofErr w:type="gramEnd"/>
      <w:r w:rsidRPr="00E40300">
        <w:rPr>
          <w:rStyle w:val="CharAttribute1"/>
          <w:rFonts w:eastAsia="Batang"/>
          <w:szCs w:val="28"/>
          <w:lang w:val="en-US"/>
        </w:rPr>
        <w:t xml:space="preserve"> 50 to 33mmHg after 5 months.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Poor long-term outcome obtained in 6 (11.5%) patients, 5 of them required reoperations. One patient with SAS, VSD and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CoAo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preserved residual pressure gradient of 60mmHg.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</w:rPr>
      </w:pPr>
      <w:r w:rsidRPr="00E40300">
        <w:rPr>
          <w:rStyle w:val="CharAttribute1"/>
          <w:rFonts w:eastAsia="Batang"/>
          <w:szCs w:val="28"/>
          <w:lang w:val="en-US"/>
        </w:rPr>
        <w:t xml:space="preserve">Frequency of reoperation due to recurrence of SAS was 5.7% (n=3), </w:t>
      </w:r>
      <w:proofErr w:type="spellStart"/>
      <w:r w:rsidRPr="00E40300">
        <w:rPr>
          <w:rStyle w:val="CharAttribute1"/>
          <w:rFonts w:eastAsia="Batang"/>
          <w:szCs w:val="28"/>
          <w:lang w:val="en-US"/>
        </w:rPr>
        <w:t>AoV</w:t>
      </w:r>
      <w:proofErr w:type="spellEnd"/>
      <w:r w:rsidRPr="00E40300">
        <w:rPr>
          <w:rStyle w:val="CharAttribute1"/>
          <w:rFonts w:eastAsia="Batang"/>
          <w:szCs w:val="28"/>
          <w:lang w:val="en-US"/>
        </w:rPr>
        <w:t xml:space="preserve"> insufficiency – 3.8% (n=2) and recurrence of PS – 1.9% (n=1).</w:t>
      </w:r>
    </w:p>
    <w:p w:rsidR="00CA335E" w:rsidRPr="00E40300" w:rsidRDefault="00CA335E" w:rsidP="00CA335E">
      <w:pPr>
        <w:pStyle w:val="ParaAttribute4"/>
        <w:spacing w:line="360" w:lineRule="auto"/>
        <w:rPr>
          <w:sz w:val="28"/>
          <w:szCs w:val="28"/>
          <w:lang w:val="en-US"/>
        </w:rPr>
      </w:pPr>
    </w:p>
    <w:p w:rsidR="00CA335E" w:rsidRPr="00E40300" w:rsidRDefault="00CA335E" w:rsidP="00CA335E">
      <w:pPr>
        <w:pStyle w:val="ParaAttribute2"/>
        <w:spacing w:line="360" w:lineRule="auto"/>
        <w:rPr>
          <w:rFonts w:eastAsia="Times New Roman"/>
          <w:b/>
          <w:sz w:val="28"/>
          <w:szCs w:val="28"/>
        </w:rPr>
      </w:pPr>
      <w:proofErr w:type="gramStart"/>
      <w:r w:rsidRPr="00E40300">
        <w:rPr>
          <w:rStyle w:val="CharAttribute4"/>
          <w:rFonts w:eastAsia="Batang"/>
          <w:szCs w:val="28"/>
          <w:lang w:val="en-US"/>
        </w:rPr>
        <w:t>Conclusions.</w:t>
      </w:r>
      <w:proofErr w:type="gramEnd"/>
    </w:p>
    <w:p w:rsidR="00CA335E" w:rsidRPr="00910B77" w:rsidRDefault="00CA335E" w:rsidP="00CA335E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_DdeLink__1471_662413477"/>
      <w:r w:rsidRPr="00E40300">
        <w:rPr>
          <w:rStyle w:val="CharAttribute1"/>
          <w:rFonts w:eastAsiaTheme="minorEastAsia" w:cs="Times New Roman"/>
          <w:szCs w:val="28"/>
          <w:lang w:val="en-US"/>
        </w:rPr>
        <w:t xml:space="preserve">VSD and SAS repair with minimal </w:t>
      </w:r>
      <w:proofErr w:type="spellStart"/>
      <w:r w:rsidRPr="00E40300">
        <w:rPr>
          <w:rStyle w:val="CharAttribute1"/>
          <w:rFonts w:eastAsiaTheme="minorEastAsia" w:cs="Times New Roman"/>
          <w:szCs w:val="28"/>
          <w:lang w:val="en-US"/>
        </w:rPr>
        <w:t>AoV</w:t>
      </w:r>
      <w:proofErr w:type="spellEnd"/>
      <w:r w:rsidRPr="00E40300">
        <w:rPr>
          <w:rStyle w:val="CharAttribute1"/>
          <w:rFonts w:eastAsiaTheme="minorEastAsia" w:cs="Times New Roman"/>
          <w:szCs w:val="28"/>
          <w:lang w:val="en-US"/>
        </w:rPr>
        <w:t xml:space="preserve"> insufficiency provides good long-term outcome with LVOT maximum pressure gradient lower than 20mmHg and preservation of </w:t>
      </w:r>
      <w:proofErr w:type="spellStart"/>
      <w:r w:rsidRPr="00E40300">
        <w:rPr>
          <w:rStyle w:val="CharAttribute1"/>
          <w:rFonts w:eastAsiaTheme="minorEastAsia" w:cs="Times New Roman"/>
          <w:szCs w:val="28"/>
          <w:lang w:val="en-US"/>
        </w:rPr>
        <w:t>AoV</w:t>
      </w:r>
      <w:proofErr w:type="spellEnd"/>
      <w:r w:rsidRPr="00E40300">
        <w:rPr>
          <w:rStyle w:val="CharAttribute1"/>
          <w:rFonts w:eastAsiaTheme="minorEastAsia" w:cs="Times New Roman"/>
          <w:szCs w:val="28"/>
          <w:lang w:val="en-US"/>
        </w:rPr>
        <w:t xml:space="preserve"> function in 73% and is independent on type of surgery.</w:t>
      </w:r>
    </w:p>
    <w:p w:rsidR="00CA335E" w:rsidRPr="00910B77" w:rsidRDefault="00CA335E" w:rsidP="00CA335E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300">
        <w:rPr>
          <w:rStyle w:val="CharAttribute1"/>
          <w:rFonts w:eastAsiaTheme="minorEastAsia" w:cs="Times New Roman"/>
          <w:szCs w:val="28"/>
          <w:lang w:val="en-US"/>
        </w:rPr>
        <w:t>Reoperation rate associated with recurrent LVOT obstruction was 5.7%.</w:t>
      </w:r>
    </w:p>
    <w:p w:rsidR="00CA335E" w:rsidRPr="00910B77" w:rsidRDefault="00CA335E" w:rsidP="00CA335E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300">
        <w:rPr>
          <w:rStyle w:val="CharAttribute1"/>
          <w:rFonts w:eastAsiaTheme="minorEastAsia" w:cs="Times New Roman"/>
          <w:szCs w:val="28"/>
          <w:lang w:val="en-US"/>
        </w:rPr>
        <w:t xml:space="preserve">Simultaneous VSD, SAS and </w:t>
      </w:r>
      <w:proofErr w:type="spellStart"/>
      <w:r w:rsidRPr="00E40300">
        <w:rPr>
          <w:rStyle w:val="CharAttribute1"/>
          <w:rFonts w:eastAsiaTheme="minorEastAsia" w:cs="Times New Roman"/>
          <w:szCs w:val="28"/>
          <w:lang w:val="en-US"/>
        </w:rPr>
        <w:t>CoAo</w:t>
      </w:r>
      <w:proofErr w:type="spellEnd"/>
      <w:r w:rsidRPr="00E40300">
        <w:rPr>
          <w:rStyle w:val="CharAttribute1"/>
          <w:rFonts w:eastAsiaTheme="minorEastAsia" w:cs="Times New Roman"/>
          <w:szCs w:val="28"/>
          <w:lang w:val="en-US"/>
        </w:rPr>
        <w:t xml:space="preserve"> repair</w:t>
      </w:r>
      <w:bookmarkEnd w:id="1"/>
      <w:r w:rsidRPr="00E40300">
        <w:rPr>
          <w:rStyle w:val="CharAttribute1"/>
          <w:rFonts w:eastAsiaTheme="minorEastAsia" w:cs="Times New Roman"/>
          <w:szCs w:val="28"/>
          <w:lang w:val="en-US"/>
        </w:rPr>
        <w:t xml:space="preserve"> associated with risk of severe postoperative complications, and the outcome is not satisfactory.</w:t>
      </w:r>
    </w:p>
    <w:p w:rsidR="00CA335E" w:rsidRPr="00E40300" w:rsidRDefault="00CA335E" w:rsidP="00CA335E">
      <w:pPr>
        <w:pStyle w:val="ParaAttribute6"/>
        <w:spacing w:line="360" w:lineRule="auto"/>
        <w:rPr>
          <w:rFonts w:eastAsia="Calibri"/>
          <w:sz w:val="28"/>
          <w:szCs w:val="28"/>
          <w:lang w:val="en-US"/>
        </w:rPr>
      </w:pPr>
    </w:p>
    <w:p w:rsidR="00CA335E" w:rsidRPr="00E40300" w:rsidRDefault="00CA335E" w:rsidP="00CA335E">
      <w:pPr>
        <w:pStyle w:val="ParaAttribute7"/>
        <w:spacing w:line="360" w:lineRule="auto"/>
        <w:rPr>
          <w:sz w:val="28"/>
          <w:szCs w:val="28"/>
        </w:rPr>
      </w:pPr>
      <w:r w:rsidRPr="00E40300">
        <w:rPr>
          <w:rStyle w:val="CharAttribute4"/>
          <w:rFonts w:eastAsia="Batang"/>
          <w:szCs w:val="28"/>
          <w:lang w:val="en-US"/>
        </w:rPr>
        <w:lastRenderedPageBreak/>
        <w:t>References</w:t>
      </w:r>
    </w:p>
    <w:p w:rsidR="00CA335E" w:rsidRPr="00E40300" w:rsidRDefault="00CA335E" w:rsidP="00CA335E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300">
        <w:rPr>
          <w:rStyle w:val="CharAttribute10"/>
          <w:rFonts w:eastAsiaTheme="minorEastAsia" w:cs="Times New Roman"/>
          <w:szCs w:val="28"/>
        </w:rPr>
        <w:t>Бешляга</w:t>
      </w:r>
      <w:proofErr w:type="spellEnd"/>
      <w:r w:rsidRPr="00E40300">
        <w:rPr>
          <w:rStyle w:val="CharAttribute10"/>
          <w:rFonts w:eastAsiaTheme="minorEastAsia" w:cs="Times New Roman"/>
          <w:szCs w:val="28"/>
        </w:rPr>
        <w:t xml:space="preserve"> В. М. Дискретный </w:t>
      </w:r>
      <w:proofErr w:type="spellStart"/>
      <w:r w:rsidRPr="00E40300">
        <w:rPr>
          <w:rStyle w:val="CharAttribute10"/>
          <w:rFonts w:eastAsiaTheme="minorEastAsia" w:cs="Times New Roman"/>
          <w:szCs w:val="28"/>
        </w:rPr>
        <w:t>субаортальний</w:t>
      </w:r>
      <w:proofErr w:type="spellEnd"/>
      <w:r w:rsidRPr="00E40300">
        <w:rPr>
          <w:rStyle w:val="CharAttribute10"/>
          <w:rFonts w:eastAsiaTheme="minorEastAsia" w:cs="Times New Roman"/>
          <w:szCs w:val="28"/>
        </w:rPr>
        <w:t xml:space="preserve"> стеноз: диагностика, показания к хирургическому лечению и оценка его результатов на основе комплексной эхокардиографии </w:t>
      </w:r>
      <w:proofErr w:type="spellStart"/>
      <w:r w:rsidRPr="00E40300">
        <w:rPr>
          <w:rStyle w:val="CharAttribute10"/>
          <w:rFonts w:eastAsiaTheme="minorEastAsia" w:cs="Times New Roman"/>
          <w:szCs w:val="28"/>
        </w:rPr>
        <w:t>дис</w:t>
      </w:r>
      <w:proofErr w:type="spellEnd"/>
      <w:r w:rsidRPr="00E40300">
        <w:rPr>
          <w:rStyle w:val="CharAttribute10"/>
          <w:rFonts w:eastAsiaTheme="minorEastAsia" w:cs="Times New Roman"/>
          <w:szCs w:val="28"/>
        </w:rPr>
        <w:t xml:space="preserve">. на </w:t>
      </w:r>
      <w:proofErr w:type="spellStart"/>
      <w:r w:rsidRPr="00E40300">
        <w:rPr>
          <w:rStyle w:val="CharAttribute10"/>
          <w:rFonts w:eastAsiaTheme="minorEastAsia" w:cs="Times New Roman"/>
          <w:szCs w:val="28"/>
        </w:rPr>
        <w:t>здобуття</w:t>
      </w:r>
      <w:proofErr w:type="spellEnd"/>
      <w:r w:rsidRPr="00E40300">
        <w:rPr>
          <w:rStyle w:val="CharAttribute10"/>
          <w:rFonts w:eastAsiaTheme="minorEastAsia" w:cs="Times New Roman"/>
          <w:szCs w:val="28"/>
        </w:rPr>
        <w:t xml:space="preserve"> наук</w:t>
      </w:r>
      <w:proofErr w:type="gramStart"/>
      <w:r w:rsidRPr="00E40300">
        <w:rPr>
          <w:rStyle w:val="CharAttribute10"/>
          <w:rFonts w:eastAsiaTheme="minorEastAsia" w:cs="Times New Roman"/>
          <w:szCs w:val="28"/>
        </w:rPr>
        <w:t>.</w:t>
      </w:r>
      <w:proofErr w:type="gramEnd"/>
      <w:r w:rsidRPr="00E40300">
        <w:rPr>
          <w:rStyle w:val="CharAttribute10"/>
          <w:rFonts w:eastAsiaTheme="minorEastAsia" w:cs="Times New Roman"/>
          <w:szCs w:val="28"/>
        </w:rPr>
        <w:t xml:space="preserve"> </w:t>
      </w:r>
      <w:proofErr w:type="spellStart"/>
      <w:proofErr w:type="gramStart"/>
      <w:r w:rsidRPr="00E40300">
        <w:rPr>
          <w:rStyle w:val="CharAttribute10"/>
          <w:rFonts w:eastAsiaTheme="minorEastAsia" w:cs="Times New Roman"/>
          <w:szCs w:val="28"/>
        </w:rPr>
        <w:t>с</w:t>
      </w:r>
      <w:proofErr w:type="gramEnd"/>
      <w:r w:rsidRPr="00E40300">
        <w:rPr>
          <w:rStyle w:val="CharAttribute10"/>
          <w:rFonts w:eastAsiaTheme="minorEastAsia" w:cs="Times New Roman"/>
          <w:szCs w:val="28"/>
        </w:rPr>
        <w:t>тупеня</w:t>
      </w:r>
      <w:proofErr w:type="spellEnd"/>
      <w:r w:rsidRPr="00E40300">
        <w:rPr>
          <w:rStyle w:val="CharAttribute10"/>
          <w:rFonts w:eastAsiaTheme="minorEastAsia" w:cs="Times New Roman"/>
          <w:szCs w:val="28"/>
        </w:rPr>
        <w:t xml:space="preserve"> канд. мед. наук. спец. </w:t>
      </w:r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14.01.04 –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сердечно-сосудистая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хирургия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/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Бешляга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В. М. – К., 2003. - 117 с.</w:t>
      </w:r>
    </w:p>
    <w:p w:rsidR="00CA335E" w:rsidRPr="00910B77" w:rsidRDefault="00CA335E" w:rsidP="00CA335E">
      <w:pPr>
        <w:pStyle w:val="a3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Nadas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AS,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Fyler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DC. Pediatric Cardiology. 3rd ed. Philadelphia: WB Saunders, 1972:348.</w:t>
      </w:r>
    </w:p>
    <w:p w:rsidR="00CA335E" w:rsidRPr="00E40300" w:rsidRDefault="00CA335E" w:rsidP="00CA335E">
      <w:pPr>
        <w:pStyle w:val="a3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Somerville J, Stone S, Ross D. Fate patients with fixed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subaortic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stenosis after surgical removal. Br Heart J 1980</w:t>
      </w:r>
      <w:proofErr w:type="gramStart"/>
      <w:r w:rsidRPr="00E40300">
        <w:rPr>
          <w:rStyle w:val="CharAttribute10"/>
          <w:rFonts w:eastAsiaTheme="minorEastAsia" w:cs="Times New Roman"/>
          <w:szCs w:val="28"/>
          <w:lang w:val="en-US"/>
        </w:rPr>
        <w:t>;43:629</w:t>
      </w:r>
      <w:proofErr w:type="gramEnd"/>
      <w:r w:rsidRPr="00E40300">
        <w:rPr>
          <w:rStyle w:val="CharAttribute10"/>
          <w:rFonts w:eastAsiaTheme="minorEastAsia" w:cs="Times New Roman"/>
          <w:szCs w:val="28"/>
          <w:lang w:val="en-US"/>
        </w:rPr>
        <w:t>-7.</w:t>
      </w:r>
    </w:p>
    <w:p w:rsidR="00CA335E" w:rsidRPr="00E40300" w:rsidRDefault="00CA335E" w:rsidP="00CA335E">
      <w:pPr>
        <w:pStyle w:val="a3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Newfeld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EA, Muster AJ, Paul MH,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Idriss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FS, Riker WL Discrete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subvalvular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aortic stenosis in childhood: study of 51 patients. Am J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Cardiol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1976</w:t>
      </w:r>
      <w:proofErr w:type="gramStart"/>
      <w:r w:rsidRPr="00E40300">
        <w:rPr>
          <w:rStyle w:val="CharAttribute10"/>
          <w:rFonts w:eastAsiaTheme="minorEastAsia" w:cs="Times New Roman"/>
          <w:szCs w:val="28"/>
          <w:lang w:val="en-US"/>
        </w:rPr>
        <w:t>;38:53</w:t>
      </w:r>
      <w:proofErr w:type="gramEnd"/>
      <w:r w:rsidRPr="00E40300">
        <w:rPr>
          <w:rStyle w:val="CharAttribute10"/>
          <w:rFonts w:eastAsiaTheme="minorEastAsia" w:cs="Times New Roman"/>
          <w:szCs w:val="28"/>
          <w:lang w:val="en-US"/>
        </w:rPr>
        <w:t>-61.</w:t>
      </w:r>
    </w:p>
    <w:p w:rsidR="00CA335E" w:rsidRPr="00910B77" w:rsidRDefault="00CA335E" w:rsidP="00CA335E">
      <w:pPr>
        <w:pStyle w:val="a3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Wright GB, Keane JF,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Nadas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AS, Bernhard WF,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Castenada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AR. Fixed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subaortic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stenosis in the young: medical and surgical course in 83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patients.Am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J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Cardiol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1983;52:830-5.</w:t>
      </w:r>
    </w:p>
    <w:p w:rsidR="00CA335E" w:rsidRPr="00E40300" w:rsidRDefault="00CA335E" w:rsidP="00CA335E">
      <w:pPr>
        <w:pStyle w:val="a3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Mark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Ruzmetov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,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Palaniswamy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Vijay, Mark D.,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Rodefeld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, Mark W.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Turrentine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, and John W. Brown Long-term results of surgical repair in patients with congenital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subaortic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stenosis. </w:t>
      </w:r>
      <w:r w:rsidRPr="00E40300">
        <w:rPr>
          <w:rStyle w:val="CharAttribute5"/>
          <w:rFonts w:eastAsiaTheme="minorEastAsia" w:cs="Times New Roman"/>
          <w:szCs w:val="28"/>
          <w:lang w:val="en-US"/>
        </w:rPr>
        <w:t xml:space="preserve">Interact </w:t>
      </w:r>
      <w:proofErr w:type="spellStart"/>
      <w:r w:rsidRPr="00E40300">
        <w:rPr>
          <w:rStyle w:val="CharAttribute5"/>
          <w:rFonts w:eastAsiaTheme="minorEastAsia" w:cs="Times New Roman"/>
          <w:szCs w:val="28"/>
          <w:lang w:val="en-US"/>
        </w:rPr>
        <w:t>CardioVasc</w:t>
      </w:r>
      <w:proofErr w:type="spellEnd"/>
      <w:r w:rsidRPr="00E40300">
        <w:rPr>
          <w:rStyle w:val="CharAttribute5"/>
          <w:rFonts w:eastAsiaTheme="minorEastAsia" w:cs="Times New Roman"/>
          <w:szCs w:val="28"/>
          <w:lang w:val="en-US"/>
        </w:rPr>
        <w:t xml:space="preserve"> </w:t>
      </w:r>
      <w:proofErr w:type="spellStart"/>
      <w:r w:rsidRPr="00E40300">
        <w:rPr>
          <w:rStyle w:val="CharAttribute5"/>
          <w:rFonts w:eastAsiaTheme="minorEastAsia" w:cs="Times New Roman"/>
          <w:szCs w:val="28"/>
          <w:lang w:val="en-US"/>
        </w:rPr>
        <w:t>Thorac</w:t>
      </w:r>
      <w:proofErr w:type="spellEnd"/>
      <w:r w:rsidRPr="00E40300">
        <w:rPr>
          <w:rStyle w:val="CharAttribute5"/>
          <w:rFonts w:eastAsiaTheme="minorEastAsia" w:cs="Times New Roman"/>
          <w:szCs w:val="28"/>
          <w:lang w:val="en-US"/>
        </w:rPr>
        <w:t xml:space="preserve"> </w:t>
      </w:r>
      <w:proofErr w:type="spellStart"/>
      <w:r w:rsidRPr="00E40300">
        <w:rPr>
          <w:rStyle w:val="CharAttribute5"/>
          <w:rFonts w:eastAsiaTheme="minorEastAsia" w:cs="Times New Roman"/>
          <w:szCs w:val="28"/>
          <w:lang w:val="en-US"/>
        </w:rPr>
        <w:t>Surg</w:t>
      </w:r>
      <w:proofErr w:type="spellEnd"/>
      <w:r w:rsidRPr="00E40300">
        <w:rPr>
          <w:rStyle w:val="CharAttribute5"/>
          <w:rFonts w:eastAsiaTheme="minorEastAsia" w:cs="Times New Roman"/>
          <w:szCs w:val="28"/>
          <w:lang w:val="en-US"/>
        </w:rPr>
        <w:t xml:space="preserve"> (2006) 5 (3): 227-233.</w:t>
      </w:r>
    </w:p>
    <w:p w:rsidR="00CA335E" w:rsidRPr="00E40300" w:rsidRDefault="00CA335E" w:rsidP="00CA335E">
      <w:pPr>
        <w:pStyle w:val="a3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Ali Dodge-Khatami, Michael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Schmid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, Valentin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Rousson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,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Margrit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Fasnacht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, Carsten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Doell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,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Urs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Bauersfeld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, and René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Prêtre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. Risk factors for reoperation after relief of congenital </w:t>
      </w:r>
      <w:proofErr w:type="spellStart"/>
      <w:r w:rsidRPr="00E40300">
        <w:rPr>
          <w:rStyle w:val="CharAttribute10"/>
          <w:rFonts w:eastAsiaTheme="minorEastAsia" w:cs="Times New Roman"/>
          <w:szCs w:val="28"/>
          <w:lang w:val="en-US"/>
        </w:rPr>
        <w:t>subaortic</w:t>
      </w:r>
      <w:proofErr w:type="spellEnd"/>
      <w:r w:rsidRPr="00E40300">
        <w:rPr>
          <w:rStyle w:val="CharAttribute10"/>
          <w:rFonts w:eastAsiaTheme="minorEastAsia" w:cs="Times New Roman"/>
          <w:szCs w:val="28"/>
          <w:lang w:val="en-US"/>
        </w:rPr>
        <w:t xml:space="preserve"> stenosis. </w:t>
      </w:r>
      <w:proofErr w:type="spellStart"/>
      <w:r w:rsidRPr="00E40300">
        <w:rPr>
          <w:rStyle w:val="CharAttribute5"/>
          <w:rFonts w:eastAsiaTheme="minorEastAsia" w:cs="Times New Roman"/>
          <w:szCs w:val="28"/>
          <w:lang w:val="en-US"/>
        </w:rPr>
        <w:t>Eur</w:t>
      </w:r>
      <w:proofErr w:type="spellEnd"/>
      <w:r w:rsidRPr="00E40300">
        <w:rPr>
          <w:rStyle w:val="CharAttribute5"/>
          <w:rFonts w:eastAsiaTheme="minorEastAsia" w:cs="Times New Roman"/>
          <w:szCs w:val="28"/>
          <w:lang w:val="en-US"/>
        </w:rPr>
        <w:t xml:space="preserve"> J </w:t>
      </w:r>
      <w:proofErr w:type="spellStart"/>
      <w:r w:rsidRPr="00E40300">
        <w:rPr>
          <w:rStyle w:val="CharAttribute5"/>
          <w:rFonts w:eastAsiaTheme="minorEastAsia" w:cs="Times New Roman"/>
          <w:szCs w:val="28"/>
          <w:lang w:val="en-US"/>
        </w:rPr>
        <w:t>Cardiothorac</w:t>
      </w:r>
      <w:proofErr w:type="spellEnd"/>
      <w:r w:rsidRPr="00E40300">
        <w:rPr>
          <w:rStyle w:val="CharAttribute5"/>
          <w:rFonts w:eastAsiaTheme="minorEastAsia" w:cs="Times New Roman"/>
          <w:szCs w:val="28"/>
          <w:lang w:val="en-US"/>
        </w:rPr>
        <w:t xml:space="preserve"> </w:t>
      </w:r>
      <w:proofErr w:type="spellStart"/>
      <w:r w:rsidRPr="00E40300">
        <w:rPr>
          <w:rStyle w:val="CharAttribute5"/>
          <w:rFonts w:eastAsiaTheme="minorEastAsia" w:cs="Times New Roman"/>
          <w:szCs w:val="28"/>
          <w:lang w:val="en-US"/>
        </w:rPr>
        <w:t>Surg</w:t>
      </w:r>
      <w:proofErr w:type="spellEnd"/>
      <w:r w:rsidRPr="00E40300">
        <w:rPr>
          <w:rStyle w:val="CharAttribute5"/>
          <w:rFonts w:eastAsiaTheme="minorEastAsia" w:cs="Times New Roman"/>
          <w:szCs w:val="28"/>
          <w:lang w:val="en-US"/>
        </w:rPr>
        <w:t xml:space="preserve"> (2008) 33 (5): 885-889.</w:t>
      </w:r>
    </w:p>
    <w:p w:rsidR="00CA335E" w:rsidRPr="00910B77" w:rsidRDefault="00CA335E" w:rsidP="00CA33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435" w:rsidRDefault="003C2435"/>
    <w:sectPr w:rsidR="003C2435" w:rsidSect="00AE535F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528"/>
    <w:multiLevelType w:val="multilevel"/>
    <w:tmpl w:val="A218FE1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8"/>
        <w:szCs w:val="28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 w:val="0"/>
        <w:sz w:val="28"/>
        <w:szCs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z w:val="28"/>
        <w:szCs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sz w:val="28"/>
        <w:szCs w:val="28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 w:val="0"/>
        <w:sz w:val="28"/>
        <w:szCs w:val="28"/>
      </w:rPr>
    </w:lvl>
  </w:abstractNum>
  <w:abstractNum w:abstractNumId="1">
    <w:nsid w:val="67A569D9"/>
    <w:multiLevelType w:val="multilevel"/>
    <w:tmpl w:val="F69A1B18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8"/>
        <w:szCs w:val="28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 w:val="0"/>
        <w:sz w:val="28"/>
        <w:szCs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z w:val="28"/>
        <w:szCs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sz w:val="28"/>
        <w:szCs w:val="28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 w:val="0"/>
        <w:sz w:val="28"/>
        <w:szCs w:val="28"/>
      </w:rPr>
    </w:lvl>
  </w:abstractNum>
  <w:abstractNum w:abstractNumId="2">
    <w:nsid w:val="759A6433"/>
    <w:multiLevelType w:val="multilevel"/>
    <w:tmpl w:val="9A6A3F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8"/>
        <w:szCs w:val="28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 w:val="0"/>
        <w:sz w:val="28"/>
        <w:szCs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z w:val="28"/>
        <w:szCs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sz w:val="28"/>
        <w:szCs w:val="28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 w:val="0"/>
        <w:sz w:val="28"/>
        <w:szCs w:val="28"/>
      </w:rPr>
    </w:lvl>
  </w:abstractNum>
  <w:abstractNum w:abstractNumId="3">
    <w:nsid w:val="7BDA264D"/>
    <w:multiLevelType w:val="multilevel"/>
    <w:tmpl w:val="37C614B0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8"/>
        <w:szCs w:val="28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sz w:val="28"/>
        <w:szCs w:val="28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 w:val="0"/>
        <w:sz w:val="28"/>
        <w:szCs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z w:val="28"/>
        <w:szCs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sz w:val="28"/>
        <w:szCs w:val="28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 w:val="0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5E"/>
    <w:rsid w:val="003B64A7"/>
    <w:rsid w:val="003C2435"/>
    <w:rsid w:val="00CA335E"/>
    <w:rsid w:val="00E1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5E"/>
    <w:pPr>
      <w:suppressAutoHyphens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5E"/>
    <w:pPr>
      <w:ind w:left="720"/>
      <w:contextualSpacing/>
    </w:pPr>
  </w:style>
  <w:style w:type="character" w:customStyle="1" w:styleId="CharAttribute1">
    <w:name w:val="CharAttribute1"/>
    <w:rsid w:val="00CA335E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sid w:val="00CA335E"/>
    <w:rPr>
      <w:rFonts w:ascii="Times New Roman" w:eastAsia="Times New Roman" w:hAnsi="Times New Roman"/>
      <w:b/>
      <w:sz w:val="28"/>
    </w:rPr>
  </w:style>
  <w:style w:type="character" w:customStyle="1" w:styleId="CharAttribute5">
    <w:name w:val="CharAttribute5"/>
    <w:rsid w:val="00CA335E"/>
    <w:rPr>
      <w:rFonts w:ascii="Times New Roman" w:eastAsia="Times New Roman" w:hAnsi="Times New Roman"/>
      <w:i/>
      <w:sz w:val="28"/>
    </w:rPr>
  </w:style>
  <w:style w:type="character" w:customStyle="1" w:styleId="CharAttribute10">
    <w:name w:val="CharAttribute10"/>
    <w:rsid w:val="00CA335E"/>
    <w:rPr>
      <w:rFonts w:ascii="Times New Roman" w:eastAsia="Times New Roman" w:hAnsi="Times New Roman"/>
      <w:sz w:val="28"/>
    </w:rPr>
  </w:style>
  <w:style w:type="paragraph" w:customStyle="1" w:styleId="ParaAttribute0">
    <w:name w:val="ParaAttribute0"/>
    <w:rsid w:val="00CA335E"/>
    <w:pPr>
      <w:suppressAutoHyphens/>
      <w:spacing w:after="0" w:line="240" w:lineRule="auto"/>
      <w:jc w:val="center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ParaAttribute1">
    <w:name w:val="ParaAttribute1"/>
    <w:rsid w:val="00CA335E"/>
    <w:pPr>
      <w:suppressAutoHyphens/>
      <w:spacing w:after="0" w:line="240" w:lineRule="auto"/>
      <w:jc w:val="center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ParaAttribute2">
    <w:name w:val="ParaAttribute2"/>
    <w:rsid w:val="00CA335E"/>
    <w:pPr>
      <w:suppressAutoHyphens/>
      <w:spacing w:after="0" w:line="240" w:lineRule="auto"/>
      <w:jc w:val="both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ParaAttribute3">
    <w:name w:val="ParaAttribute3"/>
    <w:rsid w:val="00CA335E"/>
    <w:pPr>
      <w:suppressAutoHyphens/>
      <w:spacing w:after="0" w:line="240" w:lineRule="auto"/>
      <w:ind w:firstLine="709"/>
      <w:jc w:val="both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ParaAttribute4">
    <w:name w:val="ParaAttribute4"/>
    <w:rsid w:val="00CA335E"/>
    <w:pPr>
      <w:suppressAutoHyphens/>
      <w:spacing w:after="0" w:line="240" w:lineRule="auto"/>
      <w:ind w:firstLine="708"/>
      <w:jc w:val="both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ParaAttribute6">
    <w:name w:val="ParaAttribute6"/>
    <w:rsid w:val="00CA335E"/>
    <w:pPr>
      <w:suppressAutoHyphens/>
      <w:spacing w:after="0" w:line="240" w:lineRule="auto"/>
      <w:jc w:val="both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ParaAttribute7">
    <w:name w:val="ParaAttribute7"/>
    <w:rsid w:val="00CA335E"/>
    <w:pPr>
      <w:suppressAutoHyphens/>
      <w:spacing w:line="240" w:lineRule="auto"/>
      <w:jc w:val="center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a4">
    <w:name w:val="Базовий"/>
    <w:uiPriority w:val="99"/>
    <w:rsid w:val="00CA335E"/>
    <w:pPr>
      <w:tabs>
        <w:tab w:val="left" w:pos="708"/>
      </w:tabs>
      <w:suppressAutoHyphens/>
    </w:pPr>
    <w:rPr>
      <w:rFonts w:asciiTheme="minorHAnsi" w:eastAsia="Calibri" w:hAnsiTheme="minorHAns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5E"/>
    <w:pPr>
      <w:suppressAutoHyphens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5E"/>
    <w:pPr>
      <w:ind w:left="720"/>
      <w:contextualSpacing/>
    </w:pPr>
  </w:style>
  <w:style w:type="character" w:customStyle="1" w:styleId="CharAttribute1">
    <w:name w:val="CharAttribute1"/>
    <w:rsid w:val="00CA335E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sid w:val="00CA335E"/>
    <w:rPr>
      <w:rFonts w:ascii="Times New Roman" w:eastAsia="Times New Roman" w:hAnsi="Times New Roman"/>
      <w:b/>
      <w:sz w:val="28"/>
    </w:rPr>
  </w:style>
  <w:style w:type="character" w:customStyle="1" w:styleId="CharAttribute5">
    <w:name w:val="CharAttribute5"/>
    <w:rsid w:val="00CA335E"/>
    <w:rPr>
      <w:rFonts w:ascii="Times New Roman" w:eastAsia="Times New Roman" w:hAnsi="Times New Roman"/>
      <w:i/>
      <w:sz w:val="28"/>
    </w:rPr>
  </w:style>
  <w:style w:type="character" w:customStyle="1" w:styleId="CharAttribute10">
    <w:name w:val="CharAttribute10"/>
    <w:rsid w:val="00CA335E"/>
    <w:rPr>
      <w:rFonts w:ascii="Times New Roman" w:eastAsia="Times New Roman" w:hAnsi="Times New Roman"/>
      <w:sz w:val="28"/>
    </w:rPr>
  </w:style>
  <w:style w:type="paragraph" w:customStyle="1" w:styleId="ParaAttribute0">
    <w:name w:val="ParaAttribute0"/>
    <w:rsid w:val="00CA335E"/>
    <w:pPr>
      <w:suppressAutoHyphens/>
      <w:spacing w:after="0" w:line="240" w:lineRule="auto"/>
      <w:jc w:val="center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ParaAttribute1">
    <w:name w:val="ParaAttribute1"/>
    <w:rsid w:val="00CA335E"/>
    <w:pPr>
      <w:suppressAutoHyphens/>
      <w:spacing w:after="0" w:line="240" w:lineRule="auto"/>
      <w:jc w:val="center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ParaAttribute2">
    <w:name w:val="ParaAttribute2"/>
    <w:rsid w:val="00CA335E"/>
    <w:pPr>
      <w:suppressAutoHyphens/>
      <w:spacing w:after="0" w:line="240" w:lineRule="auto"/>
      <w:jc w:val="both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ParaAttribute3">
    <w:name w:val="ParaAttribute3"/>
    <w:rsid w:val="00CA335E"/>
    <w:pPr>
      <w:suppressAutoHyphens/>
      <w:spacing w:after="0" w:line="240" w:lineRule="auto"/>
      <w:ind w:firstLine="709"/>
      <w:jc w:val="both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ParaAttribute4">
    <w:name w:val="ParaAttribute4"/>
    <w:rsid w:val="00CA335E"/>
    <w:pPr>
      <w:suppressAutoHyphens/>
      <w:spacing w:after="0" w:line="240" w:lineRule="auto"/>
      <w:ind w:firstLine="708"/>
      <w:jc w:val="both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ParaAttribute6">
    <w:name w:val="ParaAttribute6"/>
    <w:rsid w:val="00CA335E"/>
    <w:pPr>
      <w:suppressAutoHyphens/>
      <w:spacing w:after="0" w:line="240" w:lineRule="auto"/>
      <w:jc w:val="both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ParaAttribute7">
    <w:name w:val="ParaAttribute7"/>
    <w:rsid w:val="00CA335E"/>
    <w:pPr>
      <w:suppressAutoHyphens/>
      <w:spacing w:line="240" w:lineRule="auto"/>
      <w:jc w:val="center"/>
    </w:pPr>
    <w:rPr>
      <w:rFonts w:eastAsia="Batang" w:cs="Times New Roman"/>
      <w:color w:val="auto"/>
      <w:sz w:val="20"/>
      <w:lang w:val="uk-UA" w:eastAsia="zh-CN" w:bidi="hi-IN"/>
    </w:rPr>
  </w:style>
  <w:style w:type="paragraph" w:customStyle="1" w:styleId="a4">
    <w:name w:val="Базовий"/>
    <w:uiPriority w:val="99"/>
    <w:rsid w:val="00CA335E"/>
    <w:pPr>
      <w:tabs>
        <w:tab w:val="left" w:pos="708"/>
      </w:tabs>
      <w:suppressAutoHyphens/>
    </w:pPr>
    <w:rPr>
      <w:rFonts w:asciiTheme="minorHAnsi" w:eastAsia="Calibri" w:hAnsiTheme="minorHAns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localhost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user7586</dc:creator>
  <cp:lastModifiedBy>user838383892</cp:lastModifiedBy>
  <cp:revision>3</cp:revision>
  <dcterms:created xsi:type="dcterms:W3CDTF">2015-03-31T14:24:00Z</dcterms:created>
  <dcterms:modified xsi:type="dcterms:W3CDTF">2015-12-08T06:00:00Z</dcterms:modified>
</cp:coreProperties>
</file>